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sz w:val="32"/>
        </w:rPr>
        <w:t>Datenschutzerklärung – CHAOS (Lizenz-Optimierung &amp; Dashboard)</w:t>
      </w:r>
    </w:p>
    <w:p>
      <w:pPr>
        <w:spacing w:after="120"/>
      </w:pPr>
      <w:r/>
      <w:r>
        <w:rPr>
          <w:b/>
        </w:rPr>
        <w:t>Stand:</w:t>
      </w:r>
      <w:r>
        <w:t xml:space="preserve"> März 2025</w:t>
      </w:r>
    </w:p>
    <w:p>
      <w:pPr>
        <w:spacing w:after="120"/>
      </w:pPr>
      <w:r/>
      <w:r>
        <w:rPr>
          <w:b/>
        </w:rPr>
        <w:t>Geltungsbereich:</w:t>
      </w:r>
      <w:r>
        <w:t xml:space="preserve"> CHAOS-Projekt (Backend-Skripte, Webapp, optionale Reseller-/Xvantage-Integration)</w:t>
      </w:r>
    </w:p>
    <w:p>
      <w:pPr>
        <w:spacing w:after="120"/>
      </w:pPr>
      <w:r/>
      <w:r>
        <w:rPr>
          <w:b/>
        </w:rPr>
        <w:t>Version:</w:t>
      </w:r>
      <w:r>
        <w:t xml:space="preserve"> 1.3</w:t>
      </w:r>
    </w:p>
    <w:p>
      <w:pPr>
        <w:spacing w:after="120"/>
      </w:pPr>
      <w:r/>
      <w:r>
        <w:rPr>
          <w:b/>
        </w:rPr>
        <w:t>Versionsübersicht:</w:t>
      </w:r>
      <w:r/>
    </w:p>
    <w:tbl>
      <w:tblPr>
        <w:tblStyle w:val="TableGrid"/>
        <w:tblW w:type="auto" w:w="0"/>
        <w:tblLook w:firstColumn="1" w:firstRow="1" w:lastColumn="0" w:lastRow="0" w:noHBand="0" w:noVBand="1" w:val="04A0"/>
      </w:tblPr>
      <w:tblGrid>
        <w:gridCol w:w="2880"/>
        <w:gridCol w:w="2880"/>
        <w:gridCol w:w="2880"/>
      </w:tblGrid>
      <w:tr>
        <w:tc>
          <w:tcPr>
            <w:tcW w:type="dxa" w:w="2880"/>
          </w:tcPr>
          <w:p>
            <w:pPr>
              <w:spacing w:after="60"/>
            </w:pPr>
            <w:r>
              <w:t>Version</w:t>
            </w:r>
          </w:p>
        </w:tc>
        <w:tc>
          <w:tcPr>
            <w:tcW w:type="dxa" w:w="2880"/>
          </w:tcPr>
          <w:p>
            <w:pPr>
              <w:spacing w:after="60"/>
            </w:pPr>
            <w:r>
              <w:t>Datum</w:t>
            </w:r>
          </w:p>
        </w:tc>
        <w:tc>
          <w:tcPr>
            <w:tcW w:type="dxa" w:w="2880"/>
          </w:tcPr>
          <w:p>
            <w:pPr>
              <w:spacing w:after="60"/>
            </w:pPr>
            <w:r>
              <w:t>Änderung</w:t>
            </w:r>
          </w:p>
        </w:tc>
      </w:tr>
      <w:tr>
        <w:tc>
          <w:tcPr>
            <w:tcW w:type="dxa" w:w="2880"/>
          </w:tcPr>
          <w:p>
            <w:pPr>
              <w:spacing w:after="60"/>
            </w:pPr>
            <w:r>
              <w:t>1.0</w:t>
            </w:r>
          </w:p>
        </w:tc>
        <w:tc>
          <w:tcPr>
            <w:tcW w:type="dxa" w:w="2880"/>
          </w:tcPr>
          <w:p>
            <w:pPr>
              <w:spacing w:after="60"/>
            </w:pPr>
            <w:r>
              <w:t>März 2025</w:t>
            </w:r>
          </w:p>
        </w:tc>
        <w:tc>
          <w:tcPr>
            <w:tcW w:type="dxa" w:w="2880"/>
          </w:tcPr>
          <w:p>
            <w:pPr>
              <w:spacing w:after="60"/>
            </w:pPr>
            <w:r>
              <w:t>Erste Fassung.</w:t>
            </w:r>
          </w:p>
        </w:tc>
      </w:tr>
      <w:tr>
        <w:tc>
          <w:tcPr>
            <w:tcW w:type="dxa" w:w="2880"/>
          </w:tcPr>
          <w:p>
            <w:pPr>
              <w:spacing w:after="60"/>
            </w:pPr>
            <w:r>
              <w:t>1.1</w:t>
            </w:r>
          </w:p>
        </w:tc>
        <w:tc>
          <w:tcPr>
            <w:tcW w:type="dxa" w:w="2880"/>
          </w:tcPr>
          <w:p>
            <w:pPr>
              <w:spacing w:after="60"/>
            </w:pPr>
            <w:r>
              <w:t>März 2025</w:t>
            </w:r>
          </w:p>
        </w:tc>
        <w:tc>
          <w:tcPr>
            <w:tcW w:type="dxa" w:w="2880"/>
          </w:tcPr>
          <w:p>
            <w:pPr>
              <w:spacing w:after="60"/>
            </w:pPr>
            <w:r>
              <w:t>Erweiterung um Rechtsgrundlagen, Auftragsverarbeitung, Betroffenenrechte, technische Maßnahmen, Sicherheitsvorfälle, VVT.</w:t>
            </w:r>
          </w:p>
        </w:tc>
      </w:tr>
      <w:tr>
        <w:tc>
          <w:tcPr>
            <w:tcW w:type="dxa" w:w="2880"/>
          </w:tcPr>
          <w:p>
            <w:pPr>
              <w:spacing w:after="60"/>
            </w:pPr>
            <w:r>
              <w:t>1.2</w:t>
            </w:r>
          </w:p>
        </w:tc>
        <w:tc>
          <w:tcPr>
            <w:tcW w:type="dxa" w:w="2880"/>
          </w:tcPr>
          <w:p>
            <w:pPr>
              <w:spacing w:after="60"/>
            </w:pPr>
            <w:r>
              <w:t>März 2025</w:t>
            </w:r>
          </w:p>
        </w:tc>
        <w:tc>
          <w:tcPr>
            <w:tcW w:type="dxa" w:w="2880"/>
          </w:tcPr>
          <w:p>
            <w:pPr>
              <w:spacing w:after="60"/>
            </w:pPr>
            <w:r>
              <w:t>Präzisierung der Report-Daten, Hinweis zu automatisierten Entscheidungen, konkrete Dateitypen und Aufbewahrung, Protokollierung, Ablauf bei Sicherheitsvorfällen.</w:t>
            </w:r>
          </w:p>
        </w:tc>
      </w:tr>
      <w:tr>
        <w:tc>
          <w:tcPr>
            <w:tcW w:type="dxa" w:w="2880"/>
          </w:tcPr>
          <w:p>
            <w:pPr>
              <w:spacing w:after="60"/>
            </w:pPr>
            <w:r>
              <w:t>1.3</w:t>
            </w:r>
          </w:p>
        </w:tc>
        <w:tc>
          <w:tcPr>
            <w:tcW w:type="dxa" w:w="2880"/>
          </w:tcPr>
          <w:p>
            <w:pPr>
              <w:spacing w:after="60"/>
            </w:pPr>
            <w:r>
              <w:t>März 2025</w:t>
            </w:r>
          </w:p>
        </w:tc>
        <w:tc>
          <w:tcPr>
            <w:tcW w:type="dxa" w:w="2880"/>
          </w:tcPr>
          <w:p>
            <w:pPr>
              <w:spacing w:after="60"/>
            </w:pPr>
            <w:r>
              <w:t>Ergänzung eines Frage-Antwort-Abschnitts zu Verantwortlichkeit, Mittelwahl, vertraglicher Festlegung, Zugriffsbeschränkung, Datenminimierung und Erforderlichkeit personenbezogener Daten.</w:t>
            </w:r>
          </w:p>
        </w:tc>
      </w:tr>
    </w:tbl>
    <w:p/>
    <w:tbl>
      <w:tblPr>
        <w:tblStyle w:val="TableGrid"/>
        <w:tblW w:type="auto" w:w="0"/>
        <w:tblLook w:firstColumn="1" w:firstRow="1" w:lastColumn="0" w:lastRow="0" w:noHBand="0" w:noVBand="1" w:val="04A0"/>
      </w:tblPr>
      <w:tblGrid>
        <w:gridCol w:w="2880"/>
        <w:gridCol w:w="2880"/>
        <w:gridCol w:w="2880"/>
      </w:tblGrid>
      <w:tr>
        <w:tc>
          <w:tcPr>
            <w:tcW w:type="dxa" w:w="2880"/>
          </w:tcPr>
          <w:p>
            <w:pPr>
              <w:spacing w:after="60"/>
            </w:pPr>
            <w:r>
              <w:t>1.3</w:t>
            </w:r>
          </w:p>
        </w:tc>
        <w:tc>
          <w:tcPr>
            <w:tcW w:type="dxa" w:w="2880"/>
          </w:tcPr>
          <w:p>
            <w:pPr>
              <w:spacing w:after="60"/>
            </w:pPr>
            <w:r>
              <w:t>März 2025</w:t>
            </w:r>
          </w:p>
        </w:tc>
        <w:tc>
          <w:tcPr>
            <w:tcW w:type="dxa" w:w="2880"/>
          </w:tcPr>
          <w:p>
            <w:pPr>
              <w:spacing w:after="60"/>
            </w:pPr>
            <w:r>
              <w:t>Ergänzung eines Frage-Antwort-Abschnitts zu Verantwortlichkeit, Mittelwahl, vertraglicher Festlegung, Zugriffsbeschränkung, Datenminimierung und Erforderlichkeit personenbezogener Daten.</w:t>
            </w:r>
          </w:p>
        </w:tc>
      </w:tr>
    </w:tbl>
    <w:p/>
    <w:p>
      <w:pPr>
        <w:pStyle w:val="Heading1"/>
      </w:pPr>
      <w:r>
        <w:t>1. Verantwortliche Stelle, Zweck und Ansprechpartner</w:t>
      </w:r>
    </w:p>
    <w:p>
      <w:pPr>
        <w:spacing w:after="120"/>
      </w:pPr>
      <w:r/>
      <w:r>
        <w:rPr>
          <w:b/>
        </w:rPr>
        <w:t>Herausgeber</w:t>
      </w:r>
      <w:r>
        <w:t xml:space="preserve"> der Anwendung CHAOS ist die </w:t>
      </w:r>
      <w:r>
        <w:rPr>
          <w:b/>
        </w:rPr>
        <w:t>DRG Services GmbH</w:t>
      </w:r>
      <w:r>
        <w:t xml:space="preserve"> mit Sitz in </w:t>
      </w:r>
      <w:r>
        <w:rPr>
          <w:b/>
        </w:rPr>
        <w:t>Wien</w:t>
      </w:r>
      <w:r>
        <w:t>.</w:t>
      </w:r>
    </w:p>
    <w:p>
      <w:pPr>
        <w:pStyle w:val="Heading2"/>
      </w:pPr>
      <w:r>
        <w:t>1.1 Zweck der Anwendung</w:t>
      </w:r>
    </w:p>
    <w:p>
      <w:pPr>
        <w:spacing w:after="120"/>
      </w:pPr>
      <w:r>
        <w:t xml:space="preserve">Die Anwendung </w:t>
      </w:r>
      <w:r>
        <w:rPr>
          <w:b/>
        </w:rPr>
        <w:t>CHAOS</w:t>
      </w:r>
      <w:r>
        <w:t xml:space="preserve"> dient der </w:t>
      </w:r>
      <w:r>
        <w:rPr>
          <w:b/>
        </w:rPr>
        <w:t>Microsoft-365-Lizenz-Optimierung</w:t>
      </w:r>
      <w:r>
        <w:t xml:space="preserve"> und der Auswertung von Nutzungsdaten im Auftrag des Mandanten (Tenant-Betreiber). Sie ermittelt nutzungsbasierte Lizenz-Empfehlungen, stellt ein Dashboard bereit und kann optional mit Partner Center bzw. Reseller-Diensten (z. B. Xvantage) verbunden werden.</w:t>
      </w:r>
    </w:p>
    <w:p>
      <w:pPr>
        <w:spacing w:after="120"/>
      </w:pPr>
      <w:r>
        <w:t>Konkrete Ziele sind:</w:t>
      </w:r>
    </w:p>
    <w:p>
      <w:pPr>
        <w:pStyle w:val="ListBullet"/>
        <w:spacing w:after="120"/>
      </w:pPr>
      <w:r>
        <w:t>Ermittlung der pro Benutzer kostengünstigsten passenden Microsoft-365-Lizenz anhand tatsächlicher Nutzung,</w:t>
      </w:r>
    </w:p>
    <w:p>
      <w:pPr>
        <w:pStyle w:val="ListBullet"/>
        <w:spacing w:after="120"/>
      </w:pPr>
      <w:r>
        <w:t>Bereitstellung eines zentralen Dashboards für Übersichten, Lizenzen, Empfehlungen und Nutzungsberichte,</w:t>
      </w:r>
    </w:p>
    <w:p>
      <w:pPr>
        <w:pStyle w:val="ListBullet"/>
        <w:spacing w:after="120"/>
      </w:pPr>
      <w:r>
        <w:t>optionale Anbindung an Reseller-/Partner-Dienste zur Darstellung von Kunden und Abonnements.</w:t>
      </w:r>
    </w:p>
    <w:p>
      <w:pPr>
        <w:pStyle w:val="Heading2"/>
      </w:pPr>
      <w:r>
        <w:t>1.2 Verantwortlichkeit</w:t>
      </w:r>
    </w:p>
    <w:p>
      <w:pPr>
        <w:spacing w:after="120"/>
      </w:pPr>
      <w:r>
        <w:t xml:space="preserve">Die Verarbeitung erfolgt </w:t>
      </w:r>
      <w:r>
        <w:rPr>
          <w:b/>
        </w:rPr>
        <w:t>im Auftrag und unter der Hoheit des Mandanten</w:t>
      </w:r>
      <w:r>
        <w:t xml:space="preserve">. Verantwortlich für die Einhaltung des Datenschutzes ist der </w:t>
      </w:r>
      <w:r>
        <w:rPr>
          <w:b/>
        </w:rPr>
        <w:t>Betreiber der CHAOS-Instanz</w:t>
      </w:r>
      <w:r>
        <w:t xml:space="preserve"> bzw. der Mandant, der die Daten bereitstellt und die Anwendung einsetzt. CHAOS selbst speichert keine Daten bei einem externen Diensteanbieter des Projekts; die Daten verbleiben in der vom Betreiber gewählten Infrastruktur.</w:t>
      </w:r>
    </w:p>
    <w:p>
      <w:pPr>
        <w:pStyle w:val="Heading2"/>
      </w:pPr>
      <w:r>
        <w:t>1.3 Ansprechpartner für Betroffenenanfragen</w:t>
      </w:r>
    </w:p>
    <w:p>
      <w:pPr>
        <w:spacing w:after="120"/>
      </w:pPr>
      <w:r>
        <w:t xml:space="preserve">Betroffene Personen wenden sich mit Auskünften, Löschwünschen oder anderen datenschutzrechtlichen Anliegen an den </w:t>
      </w:r>
      <w:r>
        <w:rPr>
          <w:b/>
        </w:rPr>
        <w:t>Verantwortlichen</w:t>
      </w:r>
      <w:r>
        <w:t xml:space="preserve"> (Betreiber der CHAOS-Instanz). Dessen Kontaktdaten (z. B. E-Mail, Postanschrift) sind vom Betreiber festzulegen und ggf. in einer eigenen Datenschutzerklärung oder im Impressum zu veröffentlichen. Sofern ein </w:t>
      </w:r>
      <w:r>
        <w:rPr>
          <w:b/>
        </w:rPr>
        <w:t>Datenschutzbeauftragter</w:t>
      </w:r>
      <w:r>
        <w:t xml:space="preserve"> bestellt ist, kann die Kontaktmöglichkeit zu diesem ebenfalls bereitgestellt werden.</w:t>
      </w:r>
    </w:p>
    <w:p>
      <w:pPr>
        <w:pStyle w:val="Heading1"/>
      </w:pPr>
      <w:r>
        <w:t>2. Rechtsgrundlagen der Verarbeitung</w:t>
      </w:r>
    </w:p>
    <w:p>
      <w:pPr>
        <w:spacing w:after="120"/>
      </w:pPr>
      <w:r>
        <w:t xml:space="preserve">Die Verarbeitung personenbezogener Daten durch CHAOS stützt sich auf die folgenden Rechtsgrundlagen der </w:t>
      </w:r>
      <w:r>
        <w:rPr>
          <w:b/>
        </w:rPr>
        <w:t>Datenschutz-Grundverordnung (DSGVO)</w:t>
      </w:r>
      <w:r>
        <w:t>:</w:t>
      </w:r>
    </w:p>
    <w:tbl>
      <w:tblPr>
        <w:tblStyle w:val="TableGrid"/>
        <w:tblW w:type="auto" w:w="0"/>
        <w:tblLook w:firstColumn="1" w:firstRow="1" w:lastColumn="0" w:lastRow="0" w:noHBand="0" w:noVBand="1" w:val="04A0"/>
      </w:tblPr>
      <w:tblGrid>
        <w:gridCol w:w="2880"/>
        <w:gridCol w:w="2880"/>
        <w:gridCol w:w="2880"/>
      </w:tblGrid>
      <w:tr>
        <w:tc>
          <w:tcPr>
            <w:tcW w:type="dxa" w:w="2880"/>
          </w:tcPr>
          <w:p>
            <w:pPr>
              <w:spacing w:after="60"/>
            </w:pPr>
            <w:r>
              <w:t>Verarbeitung</w:t>
            </w:r>
          </w:p>
        </w:tc>
        <w:tc>
          <w:tcPr>
            <w:tcW w:type="dxa" w:w="2880"/>
          </w:tcPr>
          <w:p>
            <w:pPr>
              <w:spacing w:after="60"/>
            </w:pPr>
            <w:r>
              <w:t>Rechtsgrundlage (Art. 6 DSGVO)</w:t>
            </w:r>
          </w:p>
        </w:tc>
        <w:tc>
          <w:tcPr>
            <w:tcW w:type="dxa" w:w="2880"/>
          </w:tcPr>
          <w:p>
            <w:pPr>
              <w:spacing w:after="60"/>
            </w:pPr>
            <w:r>
              <w:t>Kurzbegründung</w:t>
            </w:r>
          </w:p>
        </w:tc>
      </w:tr>
      <w:tr>
        <w:tc>
          <w:tcPr>
            <w:tcW w:type="dxa" w:w="2880"/>
          </w:tcPr>
          <w:p>
            <w:pPr>
              <w:spacing w:after="60"/>
            </w:pPr>
            <w:r>
              <w:t>Abruf und Auswertung von Benutzer- und Nutzungsdaten aus dem Microsoft-365-Mandanten</w:t>
            </w:r>
          </w:p>
        </w:tc>
        <w:tc>
          <w:tcPr>
            <w:tcW w:type="dxa" w:w="2880"/>
          </w:tcPr>
          <w:p>
            <w:pPr>
              <w:spacing w:after="60"/>
            </w:pPr>
            <w:r>
              <w:t>Art. 6 Abs. 1 lit. f (berechtigtes Interesse) bzw. lit. b (Vertragserfüllung)</w:t>
            </w:r>
          </w:p>
        </w:tc>
        <w:tc>
          <w:tcPr>
            <w:tcW w:type="dxa" w:w="2880"/>
          </w:tcPr>
          <w:p>
            <w:pPr>
              <w:spacing w:after="60"/>
            </w:pPr>
            <w:r>
              <w:t>Lizenzoptimierung und Kosteneffizienz im betrieblichen Kontext; ggf. Erfüllung vertraglicher Pflichten des Mandanten gegenüber Microsoft oder Mitarbeitenden.</w:t>
            </w:r>
          </w:p>
        </w:tc>
      </w:tr>
      <w:tr>
        <w:tc>
          <w:tcPr>
            <w:tcW w:type="dxa" w:w="2880"/>
          </w:tcPr>
          <w:p>
            <w:pPr>
              <w:spacing w:after="60"/>
            </w:pPr>
            <w:r>
              <w:t>Temporäre Anpassung der Report-Privacy-Einstellung</w:t>
            </w:r>
          </w:p>
        </w:tc>
        <w:tc>
          <w:tcPr>
            <w:tcW w:type="dxa" w:w="2880"/>
          </w:tcPr>
          <w:p>
            <w:pPr>
              <w:spacing w:after="60"/>
            </w:pPr>
            <w:r>
              <w:t>Art. 6 Abs. 1 lit. f (berechtigtes Interesse)</w:t>
            </w:r>
          </w:p>
        </w:tc>
        <w:tc>
          <w:tcPr>
            <w:tcW w:type="dxa" w:w="2880"/>
          </w:tcPr>
          <w:p>
            <w:pPr>
              <w:spacing w:after="60"/>
            </w:pPr>
            <w:r>
              <w:t>Ermöglichung der Zuordnung von Nutzungsberichten zu einzelnen Benutzern für die Lizenzempfehlung; Wiederherstellung des ursprünglichen Zustands nach dem Lauf.</w:t>
            </w:r>
          </w:p>
        </w:tc>
      </w:tr>
      <w:tr>
        <w:tc>
          <w:tcPr>
            <w:tcW w:type="dxa" w:w="2880"/>
          </w:tcPr>
          <w:p>
            <w:pPr>
              <w:spacing w:after="60"/>
            </w:pPr>
            <w:r>
              <w:t>Anmeldung am Dashboard (Benutzername, Session)</w:t>
            </w:r>
          </w:p>
        </w:tc>
        <w:tc>
          <w:tcPr>
            <w:tcW w:type="dxa" w:w="2880"/>
          </w:tcPr>
          <w:p>
            <w:pPr>
              <w:spacing w:after="60"/>
            </w:pPr>
            <w:r>
              <w:t>Art. 6 Abs. 1 lit. f (berechtigtes Interesse) oder lit. b (Vertrag)</w:t>
            </w:r>
          </w:p>
        </w:tc>
        <w:tc>
          <w:tcPr>
            <w:tcW w:type="dxa" w:w="2880"/>
          </w:tcPr>
          <w:p>
            <w:pPr>
              <w:spacing w:after="60"/>
            </w:pPr>
            <w:r>
              <w:t>Zugangskontrolle und Sicherheit des Dashboards; ggf. vertragliche Nutzung der Anwendung.</w:t>
            </w:r>
          </w:p>
        </w:tc>
      </w:tr>
      <w:tr>
        <w:tc>
          <w:tcPr>
            <w:tcW w:type="dxa" w:w="2880"/>
          </w:tcPr>
          <w:p>
            <w:pPr>
              <w:spacing w:after="60"/>
            </w:pPr>
            <w:r>
              <w:t>Optionale Reseller-/Xvantage-Anbindung (Kunden- und Abonnementdaten)</w:t>
            </w:r>
          </w:p>
        </w:tc>
        <w:tc>
          <w:tcPr>
            <w:tcW w:type="dxa" w:w="2880"/>
          </w:tcPr>
          <w:p>
            <w:pPr>
              <w:spacing w:after="60"/>
            </w:pPr>
            <w:r>
              <w:t>Art. 6 Abs. 1 lit. f (berechtigtes Interesse) oder lit. b (Vertrag)</w:t>
            </w:r>
          </w:p>
        </w:tc>
        <w:tc>
          <w:tcPr>
            <w:tcW w:type="dxa" w:w="2880"/>
          </w:tcPr>
          <w:p>
            <w:pPr>
              <w:spacing w:after="60"/>
            </w:pPr>
            <w:r>
              <w:t>Geschäftliche Steuerung von Kunden und Abonnements im Reseller-Kontext.</w:t>
            </w:r>
          </w:p>
        </w:tc>
      </w:tr>
    </w:tbl>
    <w:p/>
    <w:tbl>
      <w:tblPr>
        <w:tblStyle w:val="TableGrid"/>
        <w:tblW w:type="auto" w:w="0"/>
        <w:tblLook w:firstColumn="1" w:firstRow="1" w:lastColumn="0" w:lastRow="0" w:noHBand="0" w:noVBand="1" w:val="04A0"/>
      </w:tblPr>
      <w:tblGrid>
        <w:gridCol w:w="2880"/>
        <w:gridCol w:w="2880"/>
        <w:gridCol w:w="2880"/>
      </w:tblGrid>
      <w:tr>
        <w:tc>
          <w:tcPr>
            <w:tcW w:type="dxa" w:w="2880"/>
          </w:tcPr>
          <w:p>
            <w:pPr>
              <w:spacing w:after="60"/>
            </w:pPr>
            <w:r>
              <w:t>Optionale Reseller-/Xvantage-Anbindung (Kunden- und Abonnementdaten)</w:t>
            </w:r>
          </w:p>
        </w:tc>
        <w:tc>
          <w:tcPr>
            <w:tcW w:type="dxa" w:w="2880"/>
          </w:tcPr>
          <w:p>
            <w:pPr>
              <w:spacing w:after="60"/>
            </w:pPr>
            <w:r>
              <w:t>Art. 6 Abs. 1 lit. f (berechtigtes Interesse) oder lit. b (Vertrag)</w:t>
            </w:r>
          </w:p>
        </w:tc>
        <w:tc>
          <w:tcPr>
            <w:tcW w:type="dxa" w:w="2880"/>
          </w:tcPr>
          <w:p>
            <w:pPr>
              <w:spacing w:after="60"/>
            </w:pPr>
            <w:r>
              <w:t>Geschäftliche Steuerung von Kunden und Abonnements im Reseller-Kontext.</w:t>
            </w:r>
          </w:p>
        </w:tc>
      </w:tr>
    </w:tbl>
    <w:p/>
    <w:p>
      <w:pPr>
        <w:spacing w:after="120"/>
      </w:pPr>
      <w:r>
        <w:t xml:space="preserve">Soweit der Betreiber eine </w:t>
      </w:r>
      <w:r>
        <w:rPr>
          <w:b/>
        </w:rPr>
        <w:t>Einwilligung</w:t>
      </w:r>
      <w:r>
        <w:t xml:space="preserve"> (Art. 6 Abs. 1 lit. a DSGVO) oder eine </w:t>
      </w:r>
      <w:r>
        <w:rPr>
          <w:b/>
        </w:rPr>
        <w:t>gesetzliche Verpflichtung</w:t>
      </w:r>
      <w:r>
        <w:t xml:space="preserve"> (Art. 6 Abs. 1 lit. c DSGVO) als Grundlage nutzt, ist dies vom Verantwortlichen zu dokumentieren. Es werden </w:t>
      </w:r>
      <w:r>
        <w:rPr>
          <w:b/>
        </w:rPr>
        <w:t>keine besonderen Kategorien personenbezogener Daten</w:t>
      </w:r>
      <w:r>
        <w:t xml:space="preserve"> (Art. 9 DSGVO) verarbeitet.</w:t>
      </w:r>
    </w:p>
    <w:p>
      <w:pPr>
        <w:pStyle w:val="Heading1"/>
      </w:pPr>
      <w:r>
        <w:t>3. Abgerufene und verarbeitete Daten</w:t>
      </w:r>
    </w:p>
    <w:p>
      <w:pPr>
        <w:pStyle w:val="Heading2"/>
      </w:pPr>
      <w:r>
        <w:t>3.1 Microsoft Graph API</w:t>
      </w:r>
    </w:p>
    <w:p>
      <w:pPr>
        <w:spacing w:after="120"/>
      </w:pPr>
      <w:r>
        <w:t xml:space="preserve">Über eine </w:t>
      </w:r>
      <w:r>
        <w:rPr>
          <w:b/>
        </w:rPr>
        <w:t>Azure-AD-App-Registrierung</w:t>
      </w:r>
      <w:r>
        <w:t xml:space="preserve"> (Zertifikats-Authentifizierung) werden folgende Daten vom Microsoft Graph abgerufen: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spacing w:after="60"/>
            </w:pPr>
            <w:r>
              <w:t>Kategorie</w:t>
            </w:r>
          </w:p>
        </w:tc>
        <w:tc>
          <w:tcPr>
            <w:tcW w:type="dxa" w:w="2160"/>
          </w:tcPr>
          <w:p>
            <w:pPr>
              <w:spacing w:after="60"/>
            </w:pPr>
            <w:r>
              <w:t>Daten / Endpunkt</w:t>
            </w:r>
          </w:p>
        </w:tc>
        <w:tc>
          <w:tcPr>
            <w:tcW w:type="dxa" w:w="2160"/>
          </w:tcPr>
          <w:p>
            <w:pPr>
              <w:spacing w:after="60"/>
            </w:pPr>
            <w:r>
              <w:t>Beschreibung</w:t>
            </w:r>
          </w:p>
        </w:tc>
        <w:tc>
          <w:tcPr>
            <w:tcW w:type="dxa" w:w="2160"/>
          </w:tcPr>
          <w:p>
            <w:pPr>
              <w:spacing w:after="60"/>
            </w:pPr>
            <w:r>
              <w:t>Personenbezug</w:t>
            </w:r>
          </w:p>
        </w:tc>
      </w:tr>
      <w:tr>
        <w:tc>
          <w:tcPr>
            <w:tcW w:type="dxa" w:w="2160"/>
          </w:tcPr>
          <w:p>
            <w:pPr>
              <w:spacing w:after="60"/>
            </w:pPr>
            <w:r>
              <w:t>Organisation</w:t>
            </w:r>
          </w:p>
        </w:tc>
        <w:tc>
          <w:tcPr>
            <w:tcW w:type="dxa" w:w="2160"/>
          </w:tcPr>
          <w:p>
            <w:pPr>
              <w:spacing w:after="60"/>
            </w:pPr>
            <w:r>
              <w:t>`organization` (id, displayName)</w:t>
            </w:r>
          </w:p>
        </w:tc>
        <w:tc>
          <w:tcPr>
            <w:tcW w:type="dxa" w:w="2160"/>
          </w:tcPr>
          <w:p>
            <w:pPr>
              <w:spacing w:after="60"/>
            </w:pPr>
            <w:r>
              <w:t>Mandantenname und -ID für Ordnerstruktur und Anzeige.</w:t>
            </w:r>
          </w:p>
        </w:tc>
        <w:tc>
          <w:tcPr>
            <w:tcW w:type="dxa" w:w="2160"/>
          </w:tcPr>
          <w:p>
            <w:pPr>
              <w:spacing w:after="60"/>
            </w:pPr>
            <w:r>
              <w:t>Organisationsbezogen, ggf. indirekt personenbezogen.</w:t>
            </w:r>
          </w:p>
        </w:tc>
      </w:tr>
      <w:tr>
        <w:tc>
          <w:tcPr>
            <w:tcW w:type="dxa" w:w="2160"/>
          </w:tcPr>
          <w:p>
            <w:pPr>
              <w:spacing w:after="60"/>
            </w:pPr>
            <w:r>
              <w:t>Benutzer</w:t>
            </w:r>
          </w:p>
        </w:tc>
        <w:tc>
          <w:tcPr>
            <w:tcW w:type="dxa" w:w="2160"/>
          </w:tcPr>
          <w:p>
            <w:pPr>
              <w:spacing w:after="60"/>
            </w:pPr>
            <w:r>
              <w:t>`users` (id, userPrincipalName, displayName, jobTitle, department, assignedLicenses, assignedPlans)</w:t>
            </w:r>
          </w:p>
        </w:tc>
        <w:tc>
          <w:tcPr>
            <w:tcW w:type="dxa" w:w="2160"/>
          </w:tcPr>
          <w:p>
            <w:pPr>
              <w:spacing w:after="60"/>
            </w:pPr>
            <w:r>
              <w:t>Benutzerstammdaten und zugewiesene Lizenzen für die Optimierung.</w:t>
            </w:r>
          </w:p>
        </w:tc>
        <w:tc>
          <w:tcPr>
            <w:tcW w:type="dxa" w:w="2160"/>
          </w:tcPr>
          <w:p>
            <w:pPr>
              <w:spacing w:after="60"/>
            </w:pPr>
            <w:r>
              <w:t>Ja (personenbezogen).</w:t>
            </w:r>
          </w:p>
        </w:tc>
      </w:tr>
      <w:tr>
        <w:tc>
          <w:tcPr>
            <w:tcW w:type="dxa" w:w="2160"/>
          </w:tcPr>
          <w:p>
            <w:pPr>
              <w:spacing w:after="60"/>
            </w:pPr>
            <w:r>
              <w:t>Lizenzen</w:t>
            </w:r>
          </w:p>
        </w:tc>
        <w:tc>
          <w:tcPr>
            <w:tcW w:type="dxa" w:w="2160"/>
          </w:tcPr>
          <w:p>
            <w:pPr>
              <w:spacing w:after="60"/>
            </w:pPr>
            <w:r>
              <w:t>`subscribedSkus`</w:t>
            </w:r>
          </w:p>
        </w:tc>
        <w:tc>
          <w:tcPr>
            <w:tcW w:type="dxa" w:w="2160"/>
          </w:tcPr>
          <w:p>
            <w:pPr>
              <w:spacing w:after="60"/>
            </w:pPr>
            <w:r>
              <w:t>Im Tenant erworbene SKUs und Service-Pläne.</w:t>
            </w:r>
          </w:p>
        </w:tc>
        <w:tc>
          <w:tcPr>
            <w:tcW w:type="dxa" w:w="2160"/>
          </w:tcPr>
          <w:p>
            <w:pPr>
              <w:spacing w:after="60"/>
            </w:pPr>
            <w:r>
              <w:t>Nein (nur Mandantenebene).</w:t>
            </w:r>
          </w:p>
        </w:tc>
      </w:tr>
      <w:tr>
        <w:tc>
          <w:tcPr>
            <w:tcW w:type="dxa" w:w="2160"/>
          </w:tcPr>
          <w:p>
            <w:pPr>
              <w:spacing w:after="60"/>
            </w:pPr>
            <w:r>
              <w:t>Nutzungsberichte (Reports)</w:t>
            </w:r>
          </w:p>
        </w:tc>
        <w:tc>
          <w:tcPr>
            <w:tcW w:type="dxa" w:w="2160"/>
          </w:tcPr>
          <w:p>
            <w:pPr>
              <w:spacing w:after="60"/>
            </w:pPr>
            <w:r>
              <w:t>Office 365 / M365 Report-Endpunkte (Zeitraum konfigurierbar, Standard: letzte 180 Tage)</w:t>
            </w:r>
          </w:p>
        </w:tc>
        <w:tc>
          <w:tcPr>
            <w:tcW w:type="dxa" w:w="2160"/>
          </w:tcPr>
          <w:p>
            <w:pPr>
              <w:spacing w:after="60"/>
            </w:pPr>
            <w:r>
              <w:t>Aktivitäts- und Nutzungsdaten je Benutzer für E-Mail, Teams, SharePoint, M365-Apps usw. Konkret: ActiveUsers, EmailActivityUserDetail, EmailAppUsageUserDetail, TeamsUserActivityUserDetail, TeamsDeviceUsageUserDetail, SharePointActivityUserDetail, M365AppUserDetail.</w:t>
            </w:r>
          </w:p>
        </w:tc>
        <w:tc>
          <w:tcPr>
            <w:tcW w:type="dxa" w:w="2160"/>
          </w:tcPr>
          <w:p>
            <w:pPr>
              <w:spacing w:after="60"/>
            </w:pPr>
            <w:r>
              <w:t>Ja (personenbezogen, nutzungsbezogen).</w:t>
            </w:r>
          </w:p>
        </w:tc>
      </w:tr>
      <w:tr>
        <w:tc>
          <w:tcPr>
            <w:tcW w:type="dxa" w:w="2160"/>
          </w:tcPr>
          <w:p>
            <w:pPr>
              <w:spacing w:after="60"/>
            </w:pPr>
            <w:r>
              <w:t>Registrierte Geräte (optional)</w:t>
            </w:r>
          </w:p>
        </w:tc>
        <w:tc>
          <w:tcPr>
            <w:tcW w:type="dxa" w:w="2160"/>
          </w:tcPr>
          <w:p>
            <w:pPr>
              <w:spacing w:after="60"/>
            </w:pPr>
            <w:r>
              <w:t>`users/{id}/registeredDevices`</w:t>
            </w:r>
          </w:p>
        </w:tc>
        <w:tc>
          <w:tcPr>
            <w:tcW w:type="dxa" w:w="2160"/>
          </w:tcPr>
          <w:p>
            <w:pPr>
              <w:spacing w:after="60"/>
            </w:pPr>
            <w:r>
              <w:t>Nur bei Ausführung mit Option Hauptrechner (–Hauptrechner): Abfrage, ob ein Benutzer mindestens ein registriertes Gerät hat (für Empfehlung M365 E3 vs. O365 E3). Es werden keine Gerätedetails gespeichert, nur eine Kennung „Hat Hauptrechner“ (ja/nein) pro User.</w:t>
            </w:r>
          </w:p>
        </w:tc>
        <w:tc>
          <w:tcPr>
            <w:tcW w:type="dxa" w:w="2160"/>
          </w:tcPr>
          <w:p>
            <w:pPr>
              <w:spacing w:after="60"/>
            </w:pPr>
            <w:r>
              <w:t>Ja (indirekt personenbezogen).</w:t>
            </w:r>
          </w:p>
        </w:tc>
      </w:tr>
    </w:tbl>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spacing w:after="60"/>
            </w:pPr>
            <w:r>
              <w:t>Registrierte Geräte (optional)</w:t>
            </w:r>
          </w:p>
        </w:tc>
        <w:tc>
          <w:tcPr>
            <w:tcW w:type="dxa" w:w="2160"/>
          </w:tcPr>
          <w:p>
            <w:pPr>
              <w:spacing w:after="60"/>
            </w:pPr>
            <w:r>
              <w:t>`users/{id}/registeredDevices`</w:t>
            </w:r>
          </w:p>
        </w:tc>
        <w:tc>
          <w:tcPr>
            <w:tcW w:type="dxa" w:w="2160"/>
          </w:tcPr>
          <w:p>
            <w:pPr>
              <w:spacing w:after="60"/>
            </w:pPr>
            <w:r>
              <w:t>Nur bei Ausführung mit Option Hauptrechner (–Hauptrechner): Abfrage, ob ein Benutzer mindestens ein registriertes Gerät hat (für Empfehlung M365 E3 vs. O365 E3). Es werden keine Gerätedetails gespeichert, nur eine Kennung „Hat Hauptrechner“ (ja/nein) pro User.</w:t>
            </w:r>
          </w:p>
        </w:tc>
        <w:tc>
          <w:tcPr>
            <w:tcW w:type="dxa" w:w="2160"/>
          </w:tcPr>
          <w:p>
            <w:pPr>
              <w:spacing w:after="60"/>
            </w:pPr>
            <w:r>
              <w:t>Ja (indirekt personenbezogen).</w:t>
            </w:r>
          </w:p>
        </w:tc>
      </w:tr>
    </w:tbl>
    <w:p/>
    <w:p>
      <w:pPr>
        <w:spacing w:after="120"/>
      </w:pPr>
      <w:r/>
      <w:r>
        <w:rPr>
          <w:b/>
        </w:rPr>
        <w:t>Report-Typen im Detail:</w:t>
      </w:r>
      <w:r>
        <w:t xml:space="preserve"> Die abgerufenen M365-/Office-365-Reports enthalten je nach Endpunkt u. a.: Benutzerkennung (User Principal Name, User ID), Aktivitätszeiträume, Nutzungshäufigkeiten (z. B. E-Mail gesendet/empfangen, Teams-Chats, SharePoint-Aktivität), verwendete Geräte/Apps. Es werden </w:t>
      </w:r>
      <w:r>
        <w:rPr>
          <w:b/>
        </w:rPr>
        <w:t>keine Inhalte</w:t>
      </w:r>
      <w:r>
        <w:t xml:space="preserve"> (E-Mail-Inhalt, Chat-Inhalt) abgerufen, sondern nur </w:t>
      </w:r>
      <w:r>
        <w:rPr>
          <w:b/>
        </w:rPr>
        <w:t>Metadaten und Nutzungszahlen</w:t>
      </w:r>
      <w:r>
        <w:t>. Die genauen Felder sind der Microsoft-Dokumentation zu den jeweiligen Report-APIs zu entnehmen.</w:t>
      </w:r>
    </w:p>
    <w:p>
      <w:pPr>
        <w:spacing w:after="120"/>
      </w:pPr>
      <w:r/>
      <w:r>
        <w:rPr>
          <w:b/>
        </w:rPr>
        <w:t>Report-Privacy:</w:t>
      </w:r>
      <w:r>
        <w:t xml:space="preserve"> Für die Auslieferung der Reports mit Benutzernamen wird die </w:t>
      </w:r>
      <w:r>
        <w:rPr>
          <w:b/>
        </w:rPr>
        <w:t>Report-Privacy-Einstellung</w:t>
      </w:r>
      <w:r>
        <w:t xml:space="preserve"> des Mandanten temporär angepasst (DisplayConcealedNames = false). Der ursprüngliche Zustand wird in `ReportPrivacy_OriginalState.json` gesichert und nach dem Lauf wiederhergestellt.</w:t>
      </w:r>
    </w:p>
    <w:p>
      <w:pPr>
        <w:pStyle w:val="Heading2"/>
      </w:pPr>
      <w:r>
        <w:t>3.2 Partner Center API (optional)</w:t>
      </w:r>
    </w:p>
    <w:p>
      <w:pPr>
        <w:spacing w:after="120"/>
      </w:pPr>
      <w:r>
        <w:t xml:space="preserve">Falls Umgebungsvariablen für das Partner Center gesetzt sind (`PARTNER_CENTER_APP_ID`, `PARTNER_CENTER_SECRET`, `PARTNER_CENTER_TENANT_ID`): Abruf von </w:t>
      </w:r>
      <w:r>
        <w:rPr>
          <w:b/>
        </w:rPr>
        <w:t>Preisdaten</w:t>
      </w:r>
      <w:r>
        <w:t xml:space="preserve"> (z. B. EUR, Markt AT) für M365-SKUs. Es werden </w:t>
      </w:r>
      <w:r>
        <w:rPr>
          <w:b/>
        </w:rPr>
        <w:t>keine personenbezogenen Kundendaten</w:t>
      </w:r>
      <w:r>
        <w:t xml:space="preserve"> aus dem Partner Center für die Lizenzlogik verwendet, sondern nur Preise für die Berechnung von Empfehlungen und Ersparnissen. Die Verarbeitung ist damit </w:t>
      </w:r>
      <w:r>
        <w:rPr>
          <w:b/>
        </w:rPr>
        <w:t>nicht personenbezogen</w:t>
      </w:r>
      <w:r>
        <w:t xml:space="preserve"> im Sinne der DSGVO (soweit nur Preisdaten betroffen sind).</w:t>
      </w:r>
    </w:p>
    <w:p>
      <w:pPr>
        <w:pStyle w:val="Heading2"/>
      </w:pPr>
      <w:r>
        <w:t>3.3 Webapp (Dashboard)</w:t>
      </w:r>
    </w:p>
    <w:p>
      <w:pPr>
        <w:pStyle w:val="ListBullet"/>
        <w:spacing w:after="120"/>
      </w:pPr>
      <w:r/>
      <w:r>
        <w:rPr>
          <w:b/>
        </w:rPr>
        <w:t>Anmeldung:</w:t>
      </w:r>
      <w:r>
        <w:t xml:space="preserve"> Benutzername und Passwort werden zur Authentifizierung verwendet (z. B. gegen eine lokale Benutzerliste). Es werden nur die für die Anzeige nötigen Session-Daten (z. B. Benutzername, Anzeigename, Tenant-Ordner, Tenant-ID) in der Session gehalten. </w:t>
      </w:r>
      <w:r>
        <w:rPr>
          <w:b/>
        </w:rPr>
        <w:t>Personenbezug:</w:t>
      </w:r>
      <w:r>
        <w:t xml:space="preserve"> Ja (Dashboard-Nutzer).</w:t>
      </w:r>
    </w:p>
    <w:p>
      <w:pPr>
        <w:pStyle w:val="ListBullet"/>
        <w:spacing w:after="120"/>
      </w:pPr>
      <w:r/>
      <w:r>
        <w:rPr>
          <w:b/>
        </w:rPr>
        <w:t>Angezeigte Daten:</w:t>
      </w:r>
      <w:r>
        <w:t xml:space="preserve"> Alle im Dashboard angezeigten Daten stammen aus den </w:t>
      </w:r>
      <w:r>
        <w:rPr>
          <w:b/>
        </w:rPr>
        <w:t>lokal</w:t>
      </w:r>
      <w:r>
        <w:t xml:space="preserve"> (im konfigurierten Output-Verzeichnis) abgelegten CSV-/JSON-Dateien. Es werden keine zusätzlichen Daten direkt von Microsoft oder Dritten abgerufen; die Webapp liest ausschließlich die zuvor von den Backend-Skripten erzeugten Artefakte.</w:t>
      </w:r>
    </w:p>
    <w:p>
      <w:pPr>
        <w:pStyle w:val="Heading2"/>
      </w:pPr>
      <w:r>
        <w:t>3.4 Reseller-/Xvantage-Integration (optional)</w:t>
      </w:r>
    </w:p>
    <w:p>
      <w:pPr>
        <w:spacing w:after="120"/>
      </w:pPr>
      <w:r>
        <w:t>Falls die Reseller- bzw. Xvantage-Anbindung genutzt wird:</w:t>
      </w:r>
    </w:p>
    <w:p>
      <w:pPr>
        <w:pStyle w:val="ListBullet"/>
        <w:spacing w:after="120"/>
      </w:pPr>
      <w:r/>
      <w:r>
        <w:rPr>
          <w:b/>
        </w:rPr>
        <w:t>Anmeldung:</w:t>
      </w:r>
      <w:r>
        <w:t xml:space="preserve"> Subscription Key, Basic-Benutzername und Basic-Passwort (in der Session gespeichert, bis zum Logout).</w:t>
      </w:r>
    </w:p>
    <w:p>
      <w:pPr>
        <w:pStyle w:val="ListBullet"/>
        <w:spacing w:after="120"/>
      </w:pPr>
      <w:r/>
      <w:r>
        <w:rPr>
          <w:b/>
        </w:rPr>
        <w:t>Abgerufene Daten:</w:t>
      </w:r>
      <w:r>
        <w:t xml:space="preserve"> Über die Xvantage-API werden Kundendaten (customers) und Abonnements (subscriptions) abgerufen – nur soweit für die Reseller-Funktionalität erforderlich. Diese Daten können </w:t>
      </w:r>
      <w:r>
        <w:rPr>
          <w:b/>
        </w:rPr>
        <w:t>personenbezogen</w:t>
      </w:r>
      <w:r>
        <w:t xml:space="preserve"> sein (Kunden des Resellers).</w:t>
      </w:r>
    </w:p>
    <w:p>
      <w:pPr>
        <w:pStyle w:val="Heading1"/>
      </w:pPr>
      <w:r>
        <w:t>4. Verwendete Berechtigungen (Microsoft Graph)</w:t>
      </w:r>
    </w:p>
    <w:p>
      <w:pPr>
        <w:spacing w:after="120"/>
      </w:pPr>
      <w:r>
        <w:t xml:space="preserve">Die für die CHAOS-Funktionen benötigten </w:t>
      </w:r>
      <w:r>
        <w:rPr>
          <w:b/>
        </w:rPr>
        <w:t>Application Permissions</w:t>
      </w:r>
      <w:r>
        <w:t xml:space="preserve"> der Azure-AD-App sind:</w:t>
      </w:r>
    </w:p>
    <w:tbl>
      <w:tblPr>
        <w:tblStyle w:val="TableGrid"/>
        <w:tblW w:type="auto" w:w="0"/>
        <w:tblLook w:firstColumn="1" w:firstRow="1" w:lastColumn="0" w:lastRow="0" w:noHBand="0" w:noVBand="1" w:val="04A0"/>
      </w:tblPr>
      <w:tblGrid>
        <w:gridCol w:w="4320"/>
        <w:gridCol w:w="4320"/>
      </w:tblGrid>
      <w:tr>
        <w:tc>
          <w:tcPr>
            <w:tcW w:type="dxa" w:w="4320"/>
          </w:tcPr>
          <w:p>
            <w:pPr>
              <w:spacing w:after="60"/>
            </w:pPr>
            <w:r>
              <w:t>Berechtigung</w:t>
            </w:r>
          </w:p>
        </w:tc>
        <w:tc>
          <w:tcPr>
            <w:tcW w:type="dxa" w:w="4320"/>
          </w:tcPr>
          <w:p>
            <w:pPr>
              <w:spacing w:after="60"/>
            </w:pPr>
            <w:r>
              <w:t>Zweck</w:t>
            </w:r>
          </w:p>
        </w:tc>
      </w:tr>
      <w:tr>
        <w:tc>
          <w:tcPr>
            <w:tcW w:type="dxa" w:w="4320"/>
          </w:tcPr>
          <w:p>
            <w:pPr>
              <w:spacing w:after="60"/>
            </w:pPr>
            <w:r>
              <w:t>ReportSettings.ReadWrite.All</w:t>
            </w:r>
          </w:p>
        </w:tc>
        <w:tc>
          <w:tcPr>
            <w:tcW w:type="dxa" w:w="4320"/>
          </w:tcPr>
          <w:p>
            <w:pPr>
              <w:spacing w:after="60"/>
            </w:pPr>
            <w:r>
              <w:t>Temporäre Anpassung der Report-Privacy-Einstellung (Anzeige Benutzername in Reports) und Wiederherstellung danach.</w:t>
            </w:r>
          </w:p>
        </w:tc>
      </w:tr>
      <w:tr>
        <w:tc>
          <w:tcPr>
            <w:tcW w:type="dxa" w:w="4320"/>
          </w:tcPr>
          <w:p>
            <w:pPr>
              <w:spacing w:after="60"/>
            </w:pPr>
            <w:r>
              <w:t>Reports.Read.All</w:t>
            </w:r>
          </w:p>
        </w:tc>
        <w:tc>
          <w:tcPr>
            <w:tcW w:type="dxa" w:w="4320"/>
          </w:tcPr>
          <w:p>
            <w:pPr>
              <w:spacing w:after="60"/>
            </w:pPr>
            <w:r>
              <w:t>Abruf der M365-/Office-365-Nutzungsberichte (E-Mail, Teams, SharePoint, Apps usw.).</w:t>
            </w:r>
          </w:p>
        </w:tc>
      </w:tr>
      <w:tr>
        <w:tc>
          <w:tcPr>
            <w:tcW w:type="dxa" w:w="4320"/>
          </w:tcPr>
          <w:p>
            <w:pPr>
              <w:spacing w:after="60"/>
            </w:pPr>
            <w:r>
              <w:t>User.Read.All</w:t>
            </w:r>
          </w:p>
        </w:tc>
        <w:tc>
          <w:tcPr>
            <w:tcW w:type="dxa" w:w="4320"/>
          </w:tcPr>
          <w:p>
            <w:pPr>
              <w:spacing w:after="60"/>
            </w:pPr>
            <w:r>
              <w:t>Lesen von Benutzerprofilen (inkl. assignedLicenses, assignedPlans) und bei Option „Hauptrechner“ Abruf von registeredDevices.</w:t>
            </w:r>
          </w:p>
        </w:tc>
      </w:tr>
      <w:tr>
        <w:tc>
          <w:tcPr>
            <w:tcW w:type="dxa" w:w="4320"/>
          </w:tcPr>
          <w:p>
            <w:pPr>
              <w:spacing w:after="60"/>
            </w:pPr>
            <w:r>
              <w:t>Directory.Read.All</w:t>
            </w:r>
          </w:p>
        </w:tc>
        <w:tc>
          <w:tcPr>
            <w:tcW w:type="dxa" w:w="4320"/>
          </w:tcPr>
          <w:p>
            <w:pPr>
              <w:spacing w:after="60"/>
            </w:pPr>
            <w:r>
              <w:t>Lesen von Verzeichnisdaten (z. B. subscribedSkus).</w:t>
            </w:r>
          </w:p>
        </w:tc>
      </w:tr>
      <w:tr>
        <w:tc>
          <w:tcPr>
            <w:tcW w:type="dxa" w:w="4320"/>
          </w:tcPr>
          <w:p>
            <w:pPr>
              <w:spacing w:after="60"/>
            </w:pPr>
            <w:r>
              <w:t>Organization.Read.All</w:t>
            </w:r>
          </w:p>
        </w:tc>
        <w:tc>
          <w:tcPr>
            <w:tcW w:type="dxa" w:w="4320"/>
          </w:tcPr>
          <w:p>
            <w:pPr>
              <w:spacing w:after="60"/>
            </w:pPr>
            <w:r>
              <w:t>Lesen der Organisations-/Mandantendaten (id, displayName, assignedPlans).</w:t>
            </w:r>
          </w:p>
        </w:tc>
      </w:tr>
    </w:tbl>
    <w:p/>
    <w:tbl>
      <w:tblPr>
        <w:tblStyle w:val="TableGrid"/>
        <w:tblW w:type="auto" w:w="0"/>
        <w:tblLook w:firstColumn="1" w:firstRow="1" w:lastColumn="0" w:lastRow="0" w:noHBand="0" w:noVBand="1" w:val="04A0"/>
      </w:tblPr>
      <w:tblGrid>
        <w:gridCol w:w="4320"/>
        <w:gridCol w:w="4320"/>
      </w:tblGrid>
      <w:tr>
        <w:tc>
          <w:tcPr>
            <w:tcW w:type="dxa" w:w="4320"/>
          </w:tcPr>
          <w:p>
            <w:pPr>
              <w:spacing w:after="60"/>
            </w:pPr>
            <w:r>
              <w:t>Organization.Read.All</w:t>
            </w:r>
          </w:p>
        </w:tc>
        <w:tc>
          <w:tcPr>
            <w:tcW w:type="dxa" w:w="4320"/>
          </w:tcPr>
          <w:p>
            <w:pPr>
              <w:spacing w:after="60"/>
            </w:pPr>
            <w:r>
              <w:t>Lesen der Organisations-/Mandantendaten (id, displayName, assignedPlans).</w:t>
            </w:r>
          </w:p>
        </w:tc>
      </w:tr>
    </w:tbl>
    <w:p/>
    <w:p>
      <w:pPr>
        <w:spacing w:after="120"/>
      </w:pPr>
      <w:r>
        <w:t xml:space="preserve">Weitere Berechtigungen werden nur dann benötigt, wenn optionale Features (z. B. weitere Geräte-APIs) aktiviert werden. Der Grundsatz </w:t>
      </w:r>
      <w:r>
        <w:rPr>
          <w:b/>
        </w:rPr>
        <w:t>„so wenig wie nötig“</w:t>
      </w:r>
      <w:r>
        <w:t xml:space="preserve"> sollte bei der Konfiguration der App-Registrierung beachtet werden.</w:t>
      </w:r>
    </w:p>
    <w:p>
      <w:pPr>
        <w:pStyle w:val="Heading1"/>
      </w:pPr>
      <w:r>
        <w:t>5. Verwendungszweck und Zweckbindung</w:t>
      </w:r>
    </w:p>
    <w:p>
      <w:pPr>
        <w:pStyle w:val="ListBullet"/>
        <w:spacing w:after="120"/>
      </w:pPr>
      <w:r/>
      <w:r>
        <w:rPr>
          <w:b/>
        </w:rPr>
        <w:t>Lizenz-Optimierung:</w:t>
      </w:r>
      <w:r>
        <w:t xml:space="preserve"> Ermittlung der pro Benutzer </w:t>
      </w:r>
      <w:r>
        <w:rPr>
          <w:b/>
        </w:rPr>
        <w:t>günstigsten passenden Lizenz</w:t>
      </w:r>
      <w:r>
        <w:t xml:space="preserve"> anhand tatsächlicher Nutzung (E-Mail, Teams, SharePoint, M365-Apps) und optional Hauptrechner-Info; Ausgabe von Empfehlungen (z. B. Recommendations.csv, Decision_Log.csv) und Einsparungen.</w:t>
      </w:r>
    </w:p>
    <w:p>
      <w:pPr>
        <w:pStyle w:val="ListBullet"/>
        <w:spacing w:after="120"/>
      </w:pPr>
      <w:r/>
      <w:r>
        <w:rPr>
          <w:b/>
        </w:rPr>
        <w:t>Dashboard:</w:t>
      </w:r>
      <w:r>
        <w:t xml:space="preserve"> Darstellung von Übersicht, Lizenzen, Empfehlungen, Nutzung und Tenant-Diensten auf Basis der lokal gespeicherten Ausgabe-Dateien.</w:t>
      </w:r>
    </w:p>
    <w:p>
      <w:pPr>
        <w:pStyle w:val="ListBullet"/>
        <w:spacing w:after="120"/>
      </w:pPr>
      <w:r/>
      <w:r>
        <w:rPr>
          <w:b/>
        </w:rPr>
        <w:t>Berichte &amp; Nachvollziehbarkeit:</w:t>
      </w:r>
      <w:r>
        <w:t xml:space="preserve"> Report-CSVs und Optimierungs-Artefakte (z. B. Usage_Summary, Artifacts_Manifest) dienen der Nachvollziehbarkeit und optional weiteren Auswertungen.</w:t>
      </w:r>
    </w:p>
    <w:p>
      <w:pPr>
        <w:pStyle w:val="ListBullet"/>
        <w:spacing w:after="120"/>
      </w:pPr>
      <w:r/>
      <w:r>
        <w:rPr>
          <w:b/>
        </w:rPr>
        <w:t>Reseller:</w:t>
      </w:r>
      <w:r>
        <w:t xml:space="preserve"> Bei Nutzung der Reseller-Integration – Abruf von Kunden- und Abonnementdaten zur Anzeige und Steuerung im Reseller-Kontext.</w:t>
      </w:r>
    </w:p>
    <w:p>
      <w:pPr>
        <w:spacing w:after="120"/>
      </w:pPr>
      <w:r>
        <w:t xml:space="preserve">Es erfolgt </w:t>
      </w:r>
      <w:r>
        <w:rPr>
          <w:b/>
        </w:rPr>
        <w:t>keine Weitergabe</w:t>
      </w:r>
      <w:r>
        <w:t xml:space="preserve"> der abgerufenen Daten an Dritte zu Werbe- oder Profilierungszwecken. Die Daten verbleiben im Einflussbereich des Betreibers (Output-Verzeichnis; ggf. Reseller-Backend nur mit den dort genutzten APIs). Eine </w:t>
      </w:r>
      <w:r>
        <w:rPr>
          <w:b/>
        </w:rPr>
        <w:t>Zweckänderung</w:t>
      </w:r>
      <w:r>
        <w:t xml:space="preserve"> ohne erneute Rechtsgrundlage bzw. Information der Betroffenen soll unterbleiben.</w:t>
      </w:r>
    </w:p>
    <w:p>
      <w:pPr>
        <w:spacing w:after="120"/>
      </w:pPr>
      <w:r/>
      <w:r>
        <w:rPr>
          <w:b/>
        </w:rPr>
        <w:t>Automatisierte Einzelentscheidungen / Profiling (Art. 22 DSGVO):</w:t>
      </w:r>
      <w:r>
        <w:t xml:space="preserve"> CHAOS erzeugt </w:t>
      </w:r>
      <w:r>
        <w:rPr>
          <w:b/>
        </w:rPr>
        <w:t>Lizenz-Empfehlungen</w:t>
      </w:r>
      <w:r>
        <w:t xml:space="preserve"> auf Basis von Nutzungsdaten und Regeln. Diese Empfehlungen dienen der Unterstützung der Entscheidung des Verantwortlichen; sie ersetzen </w:t>
      </w:r>
      <w:r>
        <w:rPr>
          <w:b/>
        </w:rPr>
        <w:t>nicht</w:t>
      </w:r>
      <w:r>
        <w:t xml:space="preserve"> die finale Entscheidung über Lizenzzuweisungen. Es erfolgt keine ausschließlich automatisierte Entscheidung mit rechtlicher oder ähnlich erheblicher Wirkung für die betroffene Person im Sinne des Art. 22 Abs. 1 DSGVO. Soweit dennoch Profiling stattfindet, ist dies vom Verantwortlichen zu dokumentieren und ggf. zu bewerten (inkl. Information der Betroffenen).</w:t>
      </w:r>
    </w:p>
    <w:p>
      <w:pPr>
        <w:pStyle w:val="Heading1"/>
      </w:pPr>
      <w:r>
        <w:t>6. Speicherorte, Aufbewahrung und Löschung</w:t>
      </w:r>
    </w:p>
    <w:p>
      <w:pPr>
        <w:pStyle w:val="Heading2"/>
      </w:pPr>
      <w:r>
        <w:t>6.1 Speicherorte</w:t>
      </w:r>
    </w:p>
    <w:p>
      <w:pPr>
        <w:pStyle w:val="ListBullet"/>
        <w:spacing w:after="120"/>
      </w:pPr>
      <w:r/>
      <w:r>
        <w:rPr>
          <w:b/>
        </w:rPr>
        <w:t>Output-Verzeichnis:</w:t>
      </w:r>
      <w:r>
        <w:t xml:space="preserve"> Konfigurierbar über `OutputRoot` in der Konfiguration (z. B. `appsettings.json`). Dort werden u. a. abgelegt:</w:t>
      </w:r>
    </w:p>
    <w:p>
      <w:pPr>
        <w:pStyle w:val="ListBullet"/>
        <w:spacing w:after="120"/>
      </w:pPr>
      <w:r>
        <w:t>Tagesordner (JJJJ-MM-TT) mit Report-CSVs und Optimization-Ordner (Users_Raw.csv, Users_WithSkuNames.csv, Recommendations.csv, Decision_Log.csv, Frontline_Eligibility.csv, Users_WithPrimaryDevice.csv usw.),</w:t>
      </w:r>
    </w:p>
    <w:p>
      <w:pPr>
        <w:pStyle w:val="ListBullet"/>
        <w:spacing w:after="120"/>
      </w:pPr>
      <w:r>
        <w:t>ReportPrivacy_OriginalState.json.</w:t>
      </w:r>
    </w:p>
    <w:p>
      <w:pPr>
        <w:pStyle w:val="ListBullet"/>
        <w:spacing w:after="120"/>
      </w:pPr>
      <w:r/>
      <w:r>
        <w:rPr>
          <w:b/>
        </w:rPr>
        <w:t>Webapp:</w:t>
      </w:r>
      <w:r>
        <w:t xml:space="preserve"> Session-Daten (Benutzer, Tenant-Zuordnung) nur während der Sitzung; keine dauerhafte Speicherung von Anmeldedaten in der App selbst (sofern nicht anders konfiguriert).</w:t>
      </w:r>
    </w:p>
    <w:p>
      <w:pPr>
        <w:pStyle w:val="ListBullet"/>
        <w:spacing w:after="120"/>
      </w:pPr>
      <w:r/>
      <w:r>
        <w:rPr>
          <w:b/>
        </w:rPr>
        <w:t>Reseller:</w:t>
      </w:r>
      <w:r>
        <w:t xml:space="preserve"> Xvantage-Zugangsdaten nur in der Session bis zum Logout.</w:t>
      </w:r>
    </w:p>
    <w:p>
      <w:pPr>
        <w:spacing w:after="120"/>
      </w:pPr>
      <w:r/>
      <w:r>
        <w:rPr>
          <w:b/>
        </w:rPr>
        <w:t>Überblick typische Dateitypen und personenbezogener Gehalt:</w:t>
      </w:r>
      <w:r/>
    </w:p>
    <w:tbl>
      <w:tblPr>
        <w:tblStyle w:val="TableGrid"/>
        <w:tblW w:type="auto" w:w="0"/>
        <w:tblLook w:firstColumn="1" w:firstRow="1" w:lastColumn="0" w:lastRow="0" w:noHBand="0" w:noVBand="1" w:val="04A0"/>
      </w:tblPr>
      <w:tblGrid>
        <w:gridCol w:w="2880"/>
        <w:gridCol w:w="2880"/>
        <w:gridCol w:w="2880"/>
      </w:tblGrid>
      <w:tr>
        <w:tc>
          <w:tcPr>
            <w:tcW w:type="dxa" w:w="2880"/>
          </w:tcPr>
          <w:p>
            <w:pPr>
              <w:spacing w:after="60"/>
            </w:pPr>
            <w:r>
              <w:t>Datei / Ordner</w:t>
            </w:r>
          </w:p>
        </w:tc>
        <w:tc>
          <w:tcPr>
            <w:tcW w:type="dxa" w:w="2880"/>
          </w:tcPr>
          <w:p>
            <w:pPr>
              <w:spacing w:after="60"/>
            </w:pPr>
            <w:r>
              <w:t>Enthält personenbezogene Daten?</w:t>
            </w:r>
          </w:p>
        </w:tc>
        <w:tc>
          <w:tcPr>
            <w:tcW w:type="dxa" w:w="2880"/>
          </w:tcPr>
          <w:p>
            <w:pPr>
              <w:spacing w:after="60"/>
            </w:pPr>
            <w:r>
              <w:t>Typische Nutzung</w:t>
            </w:r>
          </w:p>
        </w:tc>
      </w:tr>
      <w:tr>
        <w:tc>
          <w:tcPr>
            <w:tcW w:type="dxa" w:w="2880"/>
          </w:tcPr>
          <w:p>
            <w:pPr>
              <w:spacing w:after="60"/>
            </w:pPr>
            <w:r>
              <w:t>Report-CSVs (z. B. EmailActivityUserDetail, TeamsUserActivityUserDetail)</w:t>
            </w:r>
          </w:p>
        </w:tc>
        <w:tc>
          <w:tcPr>
            <w:tcW w:type="dxa" w:w="2880"/>
          </w:tcPr>
          <w:p>
            <w:pPr>
              <w:spacing w:after="60"/>
            </w:pPr>
            <w:r>
              <w:t>Ja (User-ID, UPN, Aktivitätsdaten)</w:t>
            </w:r>
          </w:p>
        </w:tc>
        <w:tc>
          <w:tcPr>
            <w:tcW w:type="dxa" w:w="2880"/>
          </w:tcPr>
          <w:p>
            <w:pPr>
              <w:spacing w:after="60"/>
            </w:pPr>
            <w:r>
              <w:t>Eingabe für Optimierung, Nachvollziehbarkeit.</w:t>
            </w:r>
          </w:p>
        </w:tc>
      </w:tr>
      <w:tr>
        <w:tc>
          <w:tcPr>
            <w:tcW w:type="dxa" w:w="2880"/>
          </w:tcPr>
          <w:p>
            <w:pPr>
              <w:spacing w:after="60"/>
            </w:pPr>
            <w:r>
              <w:t>Users_Raw.csv, Users_WithSkuNames.csv</w:t>
            </w:r>
          </w:p>
        </w:tc>
        <w:tc>
          <w:tcPr>
            <w:tcW w:type="dxa" w:w="2880"/>
          </w:tcPr>
          <w:p>
            <w:pPr>
              <w:spacing w:after="60"/>
            </w:pPr>
            <w:r>
              <w:t>Ja (Benutzerstammdaten, Lizenzen)</w:t>
            </w:r>
          </w:p>
        </w:tc>
        <w:tc>
          <w:tcPr>
            <w:tcW w:type="dxa" w:w="2880"/>
          </w:tcPr>
          <w:p>
            <w:pPr>
              <w:spacing w:after="60"/>
            </w:pPr>
            <w:r>
              <w:t>Optimierungslogik, Dashboard.</w:t>
            </w:r>
          </w:p>
        </w:tc>
      </w:tr>
      <w:tr>
        <w:tc>
          <w:tcPr>
            <w:tcW w:type="dxa" w:w="2880"/>
          </w:tcPr>
          <w:p>
            <w:pPr>
              <w:spacing w:after="60"/>
            </w:pPr>
            <w:r>
              <w:t>Recommendations.csv, Decision_Log.csv</w:t>
            </w:r>
          </w:p>
        </w:tc>
        <w:tc>
          <w:tcPr>
            <w:tcW w:type="dxa" w:w="2880"/>
          </w:tcPr>
          <w:p>
            <w:pPr>
              <w:spacing w:after="60"/>
            </w:pPr>
            <w:r>
              <w:t>Ja (Zuordnung Empfehlung zu Person)</w:t>
            </w:r>
          </w:p>
        </w:tc>
        <w:tc>
          <w:tcPr>
            <w:tcW w:type="dxa" w:w="2880"/>
          </w:tcPr>
          <w:p>
            <w:pPr>
              <w:spacing w:after="60"/>
            </w:pPr>
            <w:r>
              <w:t>Dashboard, Berichte.</w:t>
            </w:r>
          </w:p>
        </w:tc>
      </w:tr>
      <w:tr>
        <w:tc>
          <w:tcPr>
            <w:tcW w:type="dxa" w:w="2880"/>
          </w:tcPr>
          <w:p>
            <w:pPr>
              <w:spacing w:after="60"/>
            </w:pPr>
            <w:r>
              <w:t>ReportPrivacy_OriginalState.json</w:t>
            </w:r>
          </w:p>
        </w:tc>
        <w:tc>
          <w:tcPr>
            <w:tcW w:type="dxa" w:w="2880"/>
          </w:tcPr>
          <w:p>
            <w:pPr>
              <w:spacing w:after="60"/>
            </w:pPr>
            <w:r>
              <w:t>Nein (nur Mandanten-Einstellung)</w:t>
            </w:r>
          </w:p>
        </w:tc>
        <w:tc>
          <w:tcPr>
            <w:tcW w:type="dxa" w:w="2880"/>
          </w:tcPr>
          <w:p>
            <w:pPr>
              <w:spacing w:after="60"/>
            </w:pPr>
            <w:r>
              <w:t>Wiederherstellung Report-Privacy.</w:t>
            </w:r>
          </w:p>
        </w:tc>
      </w:tr>
    </w:tbl>
    <w:p/>
    <w:tbl>
      <w:tblPr>
        <w:tblStyle w:val="TableGrid"/>
        <w:tblW w:type="auto" w:w="0"/>
        <w:tblLook w:firstColumn="1" w:firstRow="1" w:lastColumn="0" w:lastRow="0" w:noHBand="0" w:noVBand="1" w:val="04A0"/>
      </w:tblPr>
      <w:tblGrid>
        <w:gridCol w:w="2880"/>
        <w:gridCol w:w="2880"/>
        <w:gridCol w:w="2880"/>
      </w:tblGrid>
      <w:tr>
        <w:tc>
          <w:tcPr>
            <w:tcW w:type="dxa" w:w="2880"/>
          </w:tcPr>
          <w:p>
            <w:pPr>
              <w:spacing w:after="60"/>
            </w:pPr>
            <w:r>
              <w:t>ReportPrivacy_OriginalState.json</w:t>
            </w:r>
          </w:p>
        </w:tc>
        <w:tc>
          <w:tcPr>
            <w:tcW w:type="dxa" w:w="2880"/>
          </w:tcPr>
          <w:p>
            <w:pPr>
              <w:spacing w:after="60"/>
            </w:pPr>
            <w:r>
              <w:t>Nein (nur Mandanten-Einstellung)</w:t>
            </w:r>
          </w:p>
        </w:tc>
        <w:tc>
          <w:tcPr>
            <w:tcW w:type="dxa" w:w="2880"/>
          </w:tcPr>
          <w:p>
            <w:pPr>
              <w:spacing w:after="60"/>
            </w:pPr>
            <w:r>
              <w:t>Wiederherstellung Report-Privacy.</w:t>
            </w:r>
          </w:p>
        </w:tc>
      </w:tr>
    </w:tbl>
    <w:p/>
    <w:p>
      <w:pPr>
        <w:spacing w:after="120"/>
      </w:pPr>
      <w:r>
        <w:t xml:space="preserve">Die </w:t>
      </w:r>
      <w:r>
        <w:rPr>
          <w:b/>
        </w:rPr>
        <w:t>physische bzw. logische Lage</w:t>
      </w:r>
      <w:r>
        <w:t xml:space="preserve"> des Servers bzw. des Speichermediums (z. B. Rechenzentrum, Land) liegt in der Verantwortung des Betreibers und sollte in dessen Dokumentation (z. B. Verzeichnis der Verarbeitungstätigkeiten) festgehalten werden.</w:t>
      </w:r>
    </w:p>
    <w:p>
      <w:pPr>
        <w:pStyle w:val="Heading2"/>
      </w:pPr>
      <w:r>
        <w:t>6.2 Aufbewahrungsdauer</w:t>
      </w:r>
    </w:p>
    <w:p>
      <w:pPr>
        <w:spacing w:after="120"/>
      </w:pPr>
      <w:r>
        <w:t xml:space="preserve">Die </w:t>
      </w:r>
      <w:r>
        <w:rPr>
          <w:b/>
        </w:rPr>
        <w:t>Aufbewahrungsdauer</w:t>
      </w:r>
      <w:r>
        <w:t xml:space="preserve"> der Dateien im Output-Verzeichnis unterliegt der Festlegung durch den Betreiber. Zu berücksichtigen sind:</w:t>
      </w:r>
    </w:p>
    <w:p>
      <w:pPr>
        <w:pStyle w:val="ListBullet"/>
        <w:spacing w:after="120"/>
      </w:pPr>
      <w:r>
        <w:t>betriebliche Erfordernisse (z. B. Nachvollziehbarkeit von Empfehlungen),</w:t>
      </w:r>
    </w:p>
    <w:p>
      <w:pPr>
        <w:pStyle w:val="ListBullet"/>
        <w:spacing w:after="120"/>
      </w:pPr>
      <w:r>
        <w:t>gesetzliche Aufbewahrungsfristen (z. B. steuer- oder handelsrechtlich),</w:t>
      </w:r>
    </w:p>
    <w:p>
      <w:pPr>
        <w:pStyle w:val="ListBullet"/>
        <w:spacing w:after="120"/>
      </w:pPr>
      <w:r>
        <w:t xml:space="preserve">Grundsatz der </w:t>
      </w:r>
      <w:r>
        <w:rPr>
          <w:b/>
        </w:rPr>
        <w:t>Speicherbegrenzung</w:t>
      </w:r>
      <w:r>
        <w:t xml:space="preserve"> (Art. 5 Abs. 1 lit. e DSGVO): Daten sind nur so lange zu speichern, wie es für den Zweck erforderlich ist.</w:t>
      </w:r>
    </w:p>
    <w:p>
      <w:pPr>
        <w:spacing w:after="120"/>
      </w:pPr>
      <w:r>
        <w:t xml:space="preserve">Empfohlen wird eine schriftliche </w:t>
      </w:r>
      <w:r>
        <w:rPr>
          <w:b/>
        </w:rPr>
        <w:t>Aufbewahrungs- und Löschrichtlinie</w:t>
      </w:r>
      <w:r>
        <w:t xml:space="preserve"> (z. B. Löschung alter Tagesordner nach X Monaten), die der Betreiber festlegt und umsetzt.</w:t>
      </w:r>
    </w:p>
    <w:p>
      <w:pPr>
        <w:pStyle w:val="Heading2"/>
      </w:pPr>
      <w:r>
        <w:t>6.3 Löschung und Anonymisierung</w:t>
      </w:r>
    </w:p>
    <w:p>
      <w:pPr>
        <w:spacing w:after="120"/>
      </w:pPr>
      <w:r>
        <w:t xml:space="preserve">Nach Ablauf der Aufbewahrungsfrist oder bei Widerruf der Rechtsgrundlage sollten die betroffenen Daten </w:t>
      </w:r>
      <w:r>
        <w:rPr>
          <w:b/>
        </w:rPr>
        <w:t>gelöscht</w:t>
      </w:r>
      <w:r>
        <w:t xml:space="preserve"> oder </w:t>
      </w:r>
      <w:r>
        <w:rPr>
          <w:b/>
        </w:rPr>
        <w:t>anonymisiert</w:t>
      </w:r>
      <w:r>
        <w:t xml:space="preserve"> werden. Die technische Umsetzung (manuell, Skript, Berechtigungen) obliegt dem Betreiber. Sofern Löschanträge betroffener Personen vorliegen, sind diese innerhalb der gesetzlichen Fristen (in der Regel einen Monat, Art. 12 Abs. 3 DSGVO) umzusetzen, soweit keine gesetzlichen Aufbewahrungspflichten entgegenstehen.</w:t>
      </w:r>
    </w:p>
    <w:p>
      <w:pPr>
        <w:pStyle w:val="Heading1"/>
      </w:pPr>
      <w:r>
        <w:t>7. Auftragsverarbeitung und Empfänger</w:t>
      </w:r>
    </w:p>
    <w:p>
      <w:pPr>
        <w:pStyle w:val="ListBullet"/>
        <w:spacing w:after="120"/>
      </w:pPr>
      <w:r/>
      <w:r>
        <w:rPr>
          <w:b/>
        </w:rPr>
        <w:t>Microsoft (Graph, M365, Azure AD):</w:t>
      </w:r>
      <w:r>
        <w:t xml:space="preserve"> Beim Abruf von Daten über die Microsoft Graph API erfolgt die Verarbeitung auf Infrastruktur von Microsoft. Microsoft handelt dabei aus Sicht des Mandanten als </w:t>
      </w:r>
      <w:r>
        <w:rPr>
          <w:b/>
        </w:rPr>
        <w:t>Auftragsverarbeiter</w:t>
      </w:r>
      <w:r>
        <w:t xml:space="preserve"> (bzw. Unterauftragsverarbeiter) im Rahmen der Microsoft-Cloud-Verträge (z. B. Microsoft 365, Azure). Die datenschutzrechtlichen Vereinbarungen zwischen Mandant und Microsoft bleiben davon unberührt.</w:t>
      </w:r>
    </w:p>
    <w:p>
      <w:pPr>
        <w:pStyle w:val="ListBullet"/>
        <w:spacing w:after="120"/>
      </w:pPr>
      <w:r/>
      <w:r>
        <w:rPr>
          <w:b/>
        </w:rPr>
        <w:t>Reseller-/Xvantage-Dienste:</w:t>
      </w:r>
      <w:r>
        <w:t xml:space="preserve"> Sofern die Xvantage-API genutzt wird, können Daten an den jeweiligen Diensteanbieter (Xvantage/Reseller-Backend) übermittelt werden. Der Betreiber hat zu prüfen, ob mit diesem Anbieter eine </w:t>
      </w:r>
      <w:r>
        <w:rPr>
          <w:b/>
        </w:rPr>
        <w:t>Vereinbarung zur Auftragsverarbeitung</w:t>
      </w:r>
      <w:r>
        <w:t xml:space="preserve"> (AV-Vertrag) gemäß Art. 28 DSGVO erforderlich ist, und diese ggf. abzuschließen.</w:t>
      </w:r>
    </w:p>
    <w:p>
      <w:pPr>
        <w:pStyle w:val="ListBullet"/>
        <w:spacing w:after="120"/>
      </w:pPr>
      <w:r/>
      <w:r>
        <w:rPr>
          <w:b/>
        </w:rPr>
        <w:t>Keine Weitergabe</w:t>
      </w:r>
      <w:r>
        <w:t xml:space="preserve"> an Dritte zu Werbe- oder Profilierungszwecken; keine Veräußerung von Daten.</w:t>
      </w:r>
    </w:p>
    <w:p>
      <w:pPr>
        <w:pStyle w:val="Heading1"/>
      </w:pPr>
      <w:r>
        <w:t>8. Datenübermittlung in Drittländer</w:t>
      </w:r>
    </w:p>
    <w:p>
      <w:pPr>
        <w:spacing w:after="120"/>
      </w:pPr>
      <w:r>
        <w:t xml:space="preserve">Die CHAOS-Anwendung selbst übermittelt keine Daten gezielt in </w:t>
      </w:r>
      <w:r>
        <w:rPr>
          <w:b/>
        </w:rPr>
        <w:t>Drittländer</w:t>
      </w:r>
      <w:r>
        <w:t xml:space="preserve"> (Staaten außerhalb des EWR). Allerdings können durch die Nutzung von </w:t>
      </w:r>
      <w:r>
        <w:rPr>
          <w:b/>
        </w:rPr>
        <w:t>Microsoft Cloud-Diensten</w:t>
      </w:r>
      <w:r>
        <w:t xml:space="preserve"> (Graph, M365) Daten in Rechenzentren auch außerhalb des EWR verarbeitet werden. Die Zulässigkeit und die geeigneten Garantien (z. B. Standardvertragsklauseln, Angemessenheitsbeschluss) regeln die Verträge zwischen dem Mandanten und Microsoft. Der Betreiber der CHAOS-Instanz sollte sich dazu bei Microsoft bzw. in den Microsoft-Datenschutzdokumenten informieren.</w:t>
      </w:r>
    </w:p>
    <w:p>
      <w:pPr>
        <w:pStyle w:val="Heading1"/>
      </w:pPr>
      <w:r>
        <w:t>9. Rechte der betroffenen Personen</w:t>
      </w:r>
    </w:p>
    <w:p>
      <w:pPr>
        <w:spacing w:after="120"/>
      </w:pPr>
      <w:r>
        <w:t xml:space="preserve">Betroffene Personen (z. B. Benutzer des Microsoft-365-Mandanten, Dashboard-Nutzer) haben die folgenden Rechte aus der </w:t>
      </w:r>
      <w:r>
        <w:rPr>
          <w:b/>
        </w:rPr>
        <w:t>DSGVO</w:t>
      </w:r>
      <w:r>
        <w:t xml:space="preserve">. Die Ausübung richtet sich an den </w:t>
      </w:r>
      <w:r>
        <w:rPr>
          <w:b/>
        </w:rPr>
        <w:t>Verantwortlichen</w:t>
      </w:r>
      <w:r>
        <w:t xml:space="preserve"> (Betreiber der CHAOS-Instanz / Mandant), da CHAOS die Daten im Auftrag und in der Infrastruktur des Mandanten verarbeitet.</w:t>
      </w:r>
    </w:p>
    <w:tbl>
      <w:tblPr>
        <w:tblStyle w:val="TableGrid"/>
        <w:tblW w:type="auto" w:w="0"/>
        <w:tblLook w:firstColumn="1" w:firstRow="1" w:lastColumn="0" w:lastRow="0" w:noHBand="0" w:noVBand="1" w:val="04A0"/>
      </w:tblPr>
      <w:tblGrid>
        <w:gridCol w:w="4320"/>
        <w:gridCol w:w="4320"/>
      </w:tblGrid>
      <w:tr>
        <w:tc>
          <w:tcPr>
            <w:tcW w:type="dxa" w:w="4320"/>
          </w:tcPr>
          <w:p>
            <w:pPr>
              <w:spacing w:after="60"/>
            </w:pPr>
            <w:r>
              <w:t>Recht</w:t>
            </w:r>
          </w:p>
        </w:tc>
        <w:tc>
          <w:tcPr>
            <w:tcW w:type="dxa" w:w="4320"/>
          </w:tcPr>
          <w:p>
            <w:pPr>
              <w:spacing w:after="60"/>
            </w:pPr>
            <w:r>
              <w:t>Inhalt (Kurz)</w:t>
            </w:r>
          </w:p>
        </w:tc>
      </w:tr>
      <w:tr>
        <w:tc>
          <w:tcPr>
            <w:tcW w:type="dxa" w:w="4320"/>
          </w:tcPr>
          <w:p>
            <w:pPr>
              <w:spacing w:after="60"/>
            </w:pPr>
            <w:r>
              <w:t>Auskunft (Art. 15 DSGVO)</w:t>
            </w:r>
          </w:p>
        </w:tc>
        <w:tc>
          <w:tcPr>
            <w:tcW w:type="dxa" w:w="4320"/>
          </w:tcPr>
          <w:p>
            <w:pPr>
              <w:spacing w:after="60"/>
            </w:pPr>
            <w:r>
              <w:t>Auskunft darüber, ob und welche personenbezogenen Daten verarbeitet werden, sowie weitere Informationen (Zweck, Kategorien, Empfänger, Speicherdauer, Rechte, Beschwerde, Herkunft, ggf. Automatisierte Entscheidungsfindung).</w:t>
            </w:r>
          </w:p>
        </w:tc>
      </w:tr>
      <w:tr>
        <w:tc>
          <w:tcPr>
            <w:tcW w:type="dxa" w:w="4320"/>
          </w:tcPr>
          <w:p>
            <w:pPr>
              <w:spacing w:after="60"/>
            </w:pPr>
            <w:r>
              <w:t>Berichtigung (Art. 16 DSGVO)</w:t>
            </w:r>
          </w:p>
        </w:tc>
        <w:tc>
          <w:tcPr>
            <w:tcW w:type="dxa" w:w="4320"/>
          </w:tcPr>
          <w:p>
            <w:pPr>
              <w:spacing w:after="60"/>
            </w:pPr>
            <w:r>
              <w:t>Berichtigung unrichtiger personenbezogener Daten. Hinweis: Ein Teil der Daten stammt direkt aus Microsoft (z. B. Benutzerprofile); Berichtigungen dort müssen ggf. im Microsoft-365-Mandanten vorgenommen werden.</w:t>
            </w:r>
          </w:p>
        </w:tc>
      </w:tr>
      <w:tr>
        <w:tc>
          <w:tcPr>
            <w:tcW w:type="dxa" w:w="4320"/>
          </w:tcPr>
          <w:p>
            <w:pPr>
              <w:spacing w:after="60"/>
            </w:pPr>
            <w:r>
              <w:t>Löschung (Art. 17 DSGVO)</w:t>
            </w:r>
          </w:p>
        </w:tc>
        <w:tc>
          <w:tcPr>
            <w:tcW w:type="dxa" w:w="4320"/>
          </w:tcPr>
          <w:p>
            <w:pPr>
              <w:spacing w:after="60"/>
            </w:pPr>
            <w:r>
              <w:t>Löschung der Daten, sofern die Voraussetzungen des Art. 17 vorliegen (z. B. Daten nicht mehr erforderlich, Widerruf der Einwilligung, Widerspruch). Gesetzliche Aufbewahrungspflichten können der Löschung entgegenstehen.</w:t>
            </w:r>
          </w:p>
        </w:tc>
      </w:tr>
      <w:tr>
        <w:tc>
          <w:tcPr>
            <w:tcW w:type="dxa" w:w="4320"/>
          </w:tcPr>
          <w:p>
            <w:pPr>
              <w:spacing w:after="60"/>
            </w:pPr>
            <w:r>
              <w:t>Einschränkung der Verarbeitung (Art. 18 DSGVO)</w:t>
            </w:r>
          </w:p>
        </w:tc>
        <w:tc>
          <w:tcPr>
            <w:tcW w:type="dxa" w:w="4320"/>
          </w:tcPr>
          <w:p>
            <w:pPr>
              <w:spacing w:after="60"/>
            </w:pPr>
            <w:r>
              <w:t>Einschränkung der Verarbeitung in den in Art. 18 genannten Fällen (z. B. Richtigkeit bestritten, Verarbeitung unrechtmäßig, Daten werden für Rechtsansprüche benötigt).</w:t>
            </w:r>
          </w:p>
        </w:tc>
      </w:tr>
      <w:tr>
        <w:tc>
          <w:tcPr>
            <w:tcW w:type="dxa" w:w="4320"/>
          </w:tcPr>
          <w:p>
            <w:pPr>
              <w:spacing w:after="60"/>
            </w:pPr>
            <w:r>
              <w:t>Datenübertragbarkeit (Art. 20 DSGVO)</w:t>
            </w:r>
          </w:p>
        </w:tc>
        <w:tc>
          <w:tcPr>
            <w:tcW w:type="dxa" w:w="4320"/>
          </w:tcPr>
          <w:p>
            <w:pPr>
              <w:spacing w:after="60"/>
            </w:pPr>
            <w:r>
              <w:t>Erhalt der bereitgestellten Daten in einem strukturierten, gängigen und maschinenlesbaren Format sowie Übermittlung an einen anderen Verantwortlichen, soweit technisch machbar. Gilt nur unter den Voraussetzungen des Art. 20 (vertragliche Grundlage oder Einwilligung, automatisierte Verarbeitung).</w:t>
            </w:r>
          </w:p>
        </w:tc>
      </w:tr>
      <w:tr>
        <w:tc>
          <w:tcPr>
            <w:tcW w:type="dxa" w:w="4320"/>
          </w:tcPr>
          <w:p>
            <w:pPr>
              <w:spacing w:after="60"/>
            </w:pPr>
            <w:r>
              <w:t>Widerspruch (Art. 21 DSGVO)</w:t>
            </w:r>
          </w:p>
        </w:tc>
        <w:tc>
          <w:tcPr>
            <w:tcW w:type="dxa" w:w="4320"/>
          </w:tcPr>
          <w:p>
            <w:pPr>
              <w:spacing w:after="60"/>
            </w:pPr>
            <w:r>
              <w:t>Widerspruch gegen die Verarbeitung aus berechtigtem Interesse (Art. 6 Abs. 1 lit. f); die Verarbeitung darf dann nur fortgesetzt werden, wenn zwingende schutzwürdige Gründe nachgewiesen werden.</w:t>
            </w:r>
          </w:p>
        </w:tc>
      </w:tr>
      <w:tr>
        <w:tc>
          <w:tcPr>
            <w:tcW w:type="dxa" w:w="4320"/>
          </w:tcPr>
          <w:p>
            <w:pPr>
              <w:spacing w:after="60"/>
            </w:pPr>
            <w:r>
              <w:t>Widerruf einer Einwilligung (Art. 7 Abs. 3 DSGVO)</w:t>
            </w:r>
          </w:p>
        </w:tc>
        <w:tc>
          <w:tcPr>
            <w:tcW w:type="dxa" w:w="4320"/>
          </w:tcPr>
          <w:p>
            <w:pPr>
              <w:spacing w:after="60"/>
            </w:pPr>
            <w:r>
              <w:t>Sofern die Verarbeitung auf Einwilligung beruht, kann diese jederzeit widerrufen werden; die Rechtmäßigkeit der bis zum Widerruf erfolgten Verarbeitung bleibt unberührt.</w:t>
            </w:r>
          </w:p>
        </w:tc>
      </w:tr>
      <w:tr>
        <w:tc>
          <w:tcPr>
            <w:tcW w:type="dxa" w:w="4320"/>
          </w:tcPr>
          <w:p>
            <w:pPr>
              <w:spacing w:after="60"/>
            </w:pPr>
            <w:r>
              <w:t>Beschwerde bei Aufsichtsbehörde (Art. 77 DSGVO)</w:t>
            </w:r>
          </w:p>
        </w:tc>
        <w:tc>
          <w:tcPr>
            <w:tcW w:type="dxa" w:w="4320"/>
          </w:tcPr>
          <w:p>
            <w:pPr>
              <w:spacing w:after="60"/>
            </w:pPr>
            <w:r>
              <w:t>Recht, sich bei einer Datenschutz-Aufsichtsbehörde zu beschweren (z. B. im Mitgliedstaat des Wohnsitzes, des Arbeitsplatzes oder des Ortes der mutmaßlichen Verletzung).</w:t>
            </w:r>
          </w:p>
        </w:tc>
      </w:tr>
    </w:tbl>
    <w:p/>
    <w:tbl>
      <w:tblPr>
        <w:tblStyle w:val="TableGrid"/>
        <w:tblW w:type="auto" w:w="0"/>
        <w:tblLook w:firstColumn="1" w:firstRow="1" w:lastColumn="0" w:lastRow="0" w:noHBand="0" w:noVBand="1" w:val="04A0"/>
      </w:tblPr>
      <w:tblGrid>
        <w:gridCol w:w="4320"/>
        <w:gridCol w:w="4320"/>
      </w:tblGrid>
      <w:tr>
        <w:tc>
          <w:tcPr>
            <w:tcW w:type="dxa" w:w="4320"/>
          </w:tcPr>
          <w:p>
            <w:pPr>
              <w:spacing w:after="60"/>
            </w:pPr>
            <w:r>
              <w:t>Beschwerde bei Aufsichtsbehörde (Art. 77 DSGVO)</w:t>
            </w:r>
          </w:p>
        </w:tc>
        <w:tc>
          <w:tcPr>
            <w:tcW w:type="dxa" w:w="4320"/>
          </w:tcPr>
          <w:p>
            <w:pPr>
              <w:spacing w:after="60"/>
            </w:pPr>
            <w:r>
              <w:t>Recht, sich bei einer Datenschutz-Aufsichtsbehörde zu beschweren (z. B. im Mitgliedstaat des Wohnsitzes, des Arbeitsplatzes oder des Ortes der mutmaßlichen Verletzung).</w:t>
            </w:r>
          </w:p>
        </w:tc>
      </w:tr>
    </w:tbl>
    <w:p/>
    <w:p>
      <w:pPr>
        <w:spacing w:after="120"/>
      </w:pPr>
      <w:r>
        <w:t xml:space="preserve">Der Verantwortliche hat Anfragen in der Regel </w:t>
      </w:r>
      <w:r>
        <w:rPr>
          <w:b/>
        </w:rPr>
        <w:t>innerhalb eines Monats</w:t>
      </w:r>
      <w:r>
        <w:t xml:space="preserve"> zu beantworten (Art. 12 Abs. 3 DSGVO); bei komplexen oder mehreren Anfragen kann die Frist um bis zu zwei Monate verlängert werden. Die Ausübung der Rechte ist für die betroffene Person </w:t>
      </w:r>
      <w:r>
        <w:rPr>
          <w:b/>
        </w:rPr>
        <w:t>unentgeltlich</w:t>
      </w:r>
      <w:r>
        <w:t>; bei offensichtlich unbegründeten oder exzessiven Anfragen kann eine Gebühr oder Ablehnung in Betracht kommen (Art. 12 Abs. 5 DSGVO).</w:t>
      </w:r>
    </w:p>
    <w:p>
      <w:pPr>
        <w:pStyle w:val="Heading1"/>
      </w:pPr>
      <w:r>
        <w:t>10. Technische und organisatorische Maßnahmen</w:t>
      </w:r>
    </w:p>
    <w:p>
      <w:pPr>
        <w:spacing w:after="120"/>
      </w:pPr>
      <w:r>
        <w:t>Zur Gewährleistung eines angemessenen Schutzniveaus sollten folgende Maßnahmen beachtet werden:</w:t>
      </w:r>
    </w:p>
    <w:p>
      <w:pPr>
        <w:pStyle w:val="Heading2"/>
      </w:pPr>
      <w:r>
        <w:t>10.1 Authentifizierung und Zugriff</w:t>
      </w:r>
    </w:p>
    <w:p>
      <w:pPr>
        <w:pStyle w:val="ListBullet"/>
        <w:spacing w:after="120"/>
      </w:pPr>
      <w:r>
        <w:t xml:space="preserve">Authentifizierung gegenüber Microsoft Graph über </w:t>
      </w:r>
      <w:r>
        <w:rPr>
          <w:b/>
        </w:rPr>
        <w:t>Zertifikat</w:t>
      </w:r>
      <w:r>
        <w:t xml:space="preserve"> (kein Passwort im Code).</w:t>
      </w:r>
    </w:p>
    <w:p>
      <w:pPr>
        <w:pStyle w:val="ListBullet"/>
        <w:spacing w:after="120"/>
      </w:pPr>
      <w:r>
        <w:t xml:space="preserve">Konfiguration (TenantId, ClientId, Zertifikat, OutputRoot usw.) über Konfigurationsdateien bzw. Umgebungsvariablen; </w:t>
      </w:r>
      <w:r>
        <w:rPr>
          <w:b/>
        </w:rPr>
        <w:t>sensible Werte nicht in Versionskontrolle</w:t>
      </w:r>
      <w:r>
        <w:t xml:space="preserve"> committen.</w:t>
      </w:r>
    </w:p>
    <w:p>
      <w:pPr>
        <w:pStyle w:val="ListBullet"/>
        <w:spacing w:after="120"/>
      </w:pPr>
      <w:r>
        <w:t xml:space="preserve">Zugriff auf das Dashboard nur nach </w:t>
      </w:r>
      <w:r>
        <w:rPr>
          <w:b/>
        </w:rPr>
        <w:t>Anmeldung</w:t>
      </w:r>
      <w:r>
        <w:t xml:space="preserve">; Zugriff auf die Output-Dateien über </w:t>
      </w:r>
      <w:r>
        <w:rPr>
          <w:b/>
        </w:rPr>
        <w:t>Betriebssystem-Berechtigungen</w:t>
      </w:r>
      <w:r>
        <w:t xml:space="preserve"> einschränken (nur berechtigte Benutzer/Gruppen).</w:t>
      </w:r>
    </w:p>
    <w:p>
      <w:pPr>
        <w:pStyle w:val="ListBullet"/>
        <w:spacing w:after="120"/>
      </w:pPr>
      <w:r>
        <w:t xml:space="preserve">Prinzip der </w:t>
      </w:r>
      <w:r>
        <w:rPr>
          <w:b/>
        </w:rPr>
        <w:t>need-to-know</w:t>
      </w:r>
      <w:r>
        <w:t>-Zugriffskontrolle: Nur Personen mit betrieblicher Erfordernis sollen Zugriff auf personenbezogene Ausgabedateien haben.</w:t>
      </w:r>
    </w:p>
    <w:p>
      <w:pPr>
        <w:pStyle w:val="Heading2"/>
      </w:pPr>
      <w:r>
        <w:t>10.2 Integrität und Vertraulichkeit</w:t>
      </w:r>
    </w:p>
    <w:p>
      <w:pPr>
        <w:pStyle w:val="ListBullet"/>
        <w:spacing w:after="120"/>
      </w:pPr>
      <w:r/>
      <w:r>
        <w:rPr>
          <w:b/>
        </w:rPr>
        <w:t>Report-Privacy:</w:t>
      </w:r>
      <w:r>
        <w:t xml:space="preserve"> Nach dem Lauf wird die Report-Privacy-Einstellung auf den in `ReportPrivacy_OriginalState.json` gesicherten Ausgangszustand zurückgesetzt.</w:t>
      </w:r>
    </w:p>
    <w:p>
      <w:pPr>
        <w:pStyle w:val="ListBullet"/>
        <w:spacing w:after="120"/>
      </w:pPr>
      <w:r>
        <w:t xml:space="preserve">Empfohlen: </w:t>
      </w:r>
      <w:r>
        <w:rPr>
          <w:b/>
        </w:rPr>
        <w:t>Verschlüsselung während der Übertragung</w:t>
      </w:r>
      <w:r>
        <w:t xml:space="preserve"> (z. B. HTTPS für die Webapp, TLS für API-Aufrufe); </w:t>
      </w:r>
      <w:r>
        <w:rPr>
          <w:b/>
        </w:rPr>
        <w:t>Verschlüsselung bei Speicherung</w:t>
      </w:r>
      <w:r>
        <w:t xml:space="preserve"> (z. B. verschlüsselte Laufwerke oder Dateisysteme) gemäß Risikobewertung des Betreibers.</w:t>
      </w:r>
    </w:p>
    <w:p>
      <w:pPr>
        <w:pStyle w:val="Heading2"/>
      </w:pPr>
      <w:r>
        <w:t>10.3 Verfügbarkeit und Belastbarkeit</w:t>
      </w:r>
    </w:p>
    <w:p>
      <w:pPr>
        <w:pStyle w:val="ListBullet"/>
        <w:spacing w:after="120"/>
      </w:pPr>
      <w:r>
        <w:t xml:space="preserve">Regelmäßige </w:t>
      </w:r>
      <w:r>
        <w:rPr>
          <w:b/>
        </w:rPr>
        <w:t>Sicherung</w:t>
      </w:r>
      <w:r>
        <w:t xml:space="preserve"> der Konfiguration und ggf. der Output-Daten gemäß betrieblicher Vorgaben; Prüfung der Wiederherstellbarkeit.</w:t>
      </w:r>
    </w:p>
    <w:p>
      <w:pPr>
        <w:pStyle w:val="ListBullet"/>
        <w:spacing w:after="120"/>
      </w:pPr>
      <w:r>
        <w:t xml:space="preserve">Dokumentation der </w:t>
      </w:r>
      <w:r>
        <w:rPr>
          <w:b/>
        </w:rPr>
        <w:t>Abhängigkeiten</w:t>
      </w:r>
      <w:r>
        <w:t xml:space="preserve"> (Microsoft Graph, optional Partner Center, Xvantage) und ggf. Ausfallkonzepte.</w:t>
      </w:r>
    </w:p>
    <w:p>
      <w:pPr>
        <w:pStyle w:val="Heading2"/>
      </w:pPr>
      <w:r>
        <w:t>10.4 Verfahren zur regelmäßigen Überprüfung</w:t>
      </w:r>
    </w:p>
    <w:p>
      <w:pPr>
        <w:pStyle w:val="ListBullet"/>
        <w:spacing w:after="120"/>
      </w:pPr>
      <w:r/>
      <w:r>
        <w:rPr>
          <w:b/>
        </w:rPr>
        <w:t>Regelmäßige Prüfung</w:t>
      </w:r>
      <w:r>
        <w:t xml:space="preserve"> der Berechtigungen der Azure-AD-App (keine überflüssigen Scopes).</w:t>
      </w:r>
    </w:p>
    <w:p>
      <w:pPr>
        <w:pStyle w:val="ListBullet"/>
        <w:spacing w:after="120"/>
      </w:pPr>
      <w:r/>
      <w:r>
        <w:rPr>
          <w:b/>
        </w:rPr>
        <w:t>Überprüfung</w:t>
      </w:r>
      <w:r>
        <w:t xml:space="preserve"> der Aufbewahrungsfristen und Löschroutinen im Output-Verzeichnis.</w:t>
      </w:r>
    </w:p>
    <w:p>
      <w:pPr>
        <w:pStyle w:val="ListBullet"/>
        <w:spacing w:after="120"/>
      </w:pPr>
      <w:r>
        <w:t>Bei wesentlichen Änderungen an CHAOS (neue Datenkategorien, neue APIs): Anpassung dieser Datenschutzerklärung und ggf. des Verzeichnisses der Verarbeitungstätigkeiten.</w:t>
      </w:r>
    </w:p>
    <w:p>
      <w:pPr>
        <w:pStyle w:val="Heading2"/>
      </w:pPr>
      <w:r>
        <w:t>10.5 Protokollierung und Nachvollziehbarkeit</w:t>
      </w:r>
    </w:p>
    <w:p>
      <w:pPr>
        <w:pStyle w:val="ListBullet"/>
        <w:spacing w:after="120"/>
      </w:pPr>
      <w:r/>
      <w:r>
        <w:rPr>
          <w:b/>
        </w:rPr>
        <w:t>Zugriffs- und Nutzungsprotokolle</w:t>
      </w:r>
      <w:r>
        <w:t xml:space="preserve"> (z. B. Anmeldungen am Dashboard, Zugriffe auf das Output-Verzeichnis) sollten gemäß betrieblicher und rechtlicher Anforderungen geführt und aufbewahrt werden; dabei sind </w:t>
      </w:r>
      <w:r>
        <w:rPr>
          <w:b/>
        </w:rPr>
        <w:t>Speicherbegrenzung</w:t>
      </w:r>
      <w:r>
        <w:t xml:space="preserve"> und </w:t>
      </w:r>
      <w:r>
        <w:rPr>
          <w:b/>
        </w:rPr>
        <w:t>Zweckbindung</w:t>
      </w:r>
      <w:r>
        <w:t xml:space="preserve"> zu beachten (z. B. keine übermäßige Dauer, Zugriff nur für Berechtigte).</w:t>
      </w:r>
    </w:p>
    <w:p>
      <w:pPr>
        <w:pStyle w:val="ListBullet"/>
        <w:spacing w:after="120"/>
      </w:pPr>
      <w:r>
        <w:t>Sofern Logs personenbezogene Daten enthalten (z. B. Benutzernamen, IP-Adressen), sind sie in das Verzeichnis der Verarbeitungstätigkeiten aufzunehmen und die Aufbewahrungsdauer zu definieren.</w:t>
      </w:r>
    </w:p>
    <w:p>
      <w:pPr>
        <w:pStyle w:val="Heading1"/>
      </w:pPr>
      <w:r>
        <w:t>11. Sicherheitsvorfälle und Meldepflichten</w:t>
      </w:r>
    </w:p>
    <w:p>
      <w:pPr>
        <w:spacing w:after="120"/>
      </w:pPr>
      <w:r>
        <w:t xml:space="preserve">Bei einem </w:t>
      </w:r>
      <w:r>
        <w:rPr>
          <w:b/>
        </w:rPr>
        <w:t>Datenleck</w:t>
      </w:r>
      <w:r>
        <w:t xml:space="preserve"> oder einer </w:t>
      </w:r>
      <w:r>
        <w:rPr>
          <w:b/>
        </w:rPr>
        <w:t>Verletzung der Sicherheit</w:t>
      </w:r>
      <w:r>
        <w:t xml:space="preserve"> personenbezogener Daten, die voraussichtlich ein Risiko für die Rechte und Freiheiten natürlicher Personen zur Folge hat, gelten für den </w:t>
      </w:r>
      <w:r>
        <w:rPr>
          <w:b/>
        </w:rPr>
        <w:t>Verantwortlichen</w:t>
      </w:r>
      <w:r>
        <w:t>:</w:t>
      </w:r>
    </w:p>
    <w:p>
      <w:pPr>
        <w:pStyle w:val="ListBullet"/>
        <w:spacing w:after="120"/>
      </w:pPr>
      <w:r/>
      <w:r>
        <w:rPr>
          <w:b/>
        </w:rPr>
        <w:t>Meldung an die Aufsichtsbehörde</w:t>
      </w:r>
      <w:r>
        <w:t xml:space="preserve"> (Art. 33 DSGVO): unverzüglich, möglichst innerhalb von </w:t>
      </w:r>
      <w:r>
        <w:rPr>
          <w:b/>
        </w:rPr>
        <w:t>72 Stunden</w:t>
      </w:r>
      <w:r>
        <w:t xml:space="preserve"> nach Bekanntwerden, sofern nicht nachgewiesen wird, dass die Verletzung voraussichtlich kein Risiko darstellt.</w:t>
      </w:r>
    </w:p>
    <w:p>
      <w:pPr>
        <w:pStyle w:val="ListBullet"/>
        <w:spacing w:after="120"/>
      </w:pPr>
      <w:r/>
      <w:r>
        <w:rPr>
          <w:b/>
        </w:rPr>
        <w:t>Benachrichtigung der betroffenen Personen</w:t>
      </w:r>
      <w:r>
        <w:t xml:space="preserve"> (Art. 34 DSGVO): ohne ungebührliche Verzögerung, wenn das Risiko für deren Rechte und Freiheiten voraussichtlich hoch ist; Ausnahmen gemäß Art. 34 Abs. 3 DSGVO möglich.</w:t>
      </w:r>
    </w:p>
    <w:p>
      <w:pPr>
        <w:spacing w:after="120"/>
      </w:pPr>
      <w:r>
        <w:t xml:space="preserve">Der Betreiber der CHAOS-Instanz sollte </w:t>
      </w:r>
      <w:r>
        <w:rPr>
          <w:b/>
        </w:rPr>
        <w:t>interne Verfahren</w:t>
      </w:r>
      <w:r>
        <w:t xml:space="preserve"> für die Erkennung, Dokumentation und Meldung von Vorfällen festlegen. Empfohlene Schritte bei Verdacht auf eine Verletzung des Schutzes personenbezogener Daten:</w:t>
      </w:r>
    </w:p>
    <w:p>
      <w:pPr>
        <w:pStyle w:val="ListNumber"/>
        <w:spacing w:after="120"/>
      </w:pPr>
      <w:r/>
      <w:r>
        <w:rPr>
          <w:b/>
        </w:rPr>
        <w:t>Erkennung &amp; Meldung:</w:t>
      </w:r>
      <w:r>
        <w:t xml:space="preserve"> Verdacht oder Feststellung eines Vorfalls (z. B. unbefugter Zugriff, Verlust von Daten, Ransomware) wird an eine festgelegte Stelle (z. B. IT-Sicherheit, Datenschutzbeauftragter) gemeldet.</w:t>
      </w:r>
    </w:p>
    <w:p>
      <w:pPr>
        <w:pStyle w:val="ListNumber"/>
        <w:spacing w:after="120"/>
      </w:pPr>
      <w:r/>
      <w:r>
        <w:rPr>
          <w:b/>
        </w:rPr>
        <w:t>Dokumentation:</w:t>
      </w:r>
      <w:r>
        <w:t xml:space="preserve"> Art des Vorfalls, betroffene Daten, Zeitraum, Anzahl betroffener Personen und erste Einschätzung des Risikos werden dokumentiert.</w:t>
      </w:r>
    </w:p>
    <w:p>
      <w:pPr>
        <w:pStyle w:val="ListNumber"/>
        <w:spacing w:after="120"/>
      </w:pPr>
      <w:r/>
      <w:r>
        <w:rPr>
          <w:b/>
        </w:rPr>
        <w:t>Meldung Aufsichtsbehörde:</w:t>
      </w:r>
      <w:r>
        <w:t xml:space="preserve"> Prüfung, ob eine Meldung nach Art. 33 DSGVO erforderlich ist; bei Ja: Meldung möglichst innerhalb von 72 Stunden mit den in Art. 33 Abs. 3 genannten Angaben.</w:t>
      </w:r>
    </w:p>
    <w:p>
      <w:pPr>
        <w:pStyle w:val="ListNumber"/>
        <w:spacing w:after="120"/>
      </w:pPr>
      <w:r/>
      <w:r>
        <w:rPr>
          <w:b/>
        </w:rPr>
        <w:t>Benachrichtigung Betroffener:</w:t>
      </w:r>
      <w:r>
        <w:t xml:space="preserve"> Prüfung, ob eine Benachrichtigung nach Art. 34 DSGVO erforderlich ist (hohes Risiko); bei Ja: Information ohne ungebührliche Verzögerung mit verständlichen Angaben zu Art der Verletzung und Empfehlungen.</w:t>
      </w:r>
    </w:p>
    <w:p>
      <w:pPr>
        <w:pStyle w:val="ListNumber"/>
        <w:spacing w:after="120"/>
      </w:pPr>
      <w:r/>
      <w:r>
        <w:rPr>
          <w:b/>
        </w:rPr>
        <w:t>Nachbereitung:</w:t>
      </w:r>
      <w:r>
        <w:t xml:space="preserve"> Dokumentation der getroffenen Maßnahmen, ggf. Anpassung technischer/organisatorischer Maßnahmen zur Vermeidung künftiger Vorfälle.</w:t>
      </w:r>
    </w:p>
    <w:p>
      <w:pPr>
        <w:spacing w:after="120"/>
      </w:pPr>
      <w:r>
        <w:t xml:space="preserve">Sofern CHAOS durch einen Dritten (z. B. Dienstleister) betrieben wird, ist vertraglich zu regeln, dass dieser den Verantwortlichen </w:t>
      </w:r>
      <w:r>
        <w:rPr>
          <w:b/>
        </w:rPr>
        <w:t>unverzüglich</w:t>
      </w:r>
      <w:r>
        <w:t xml:space="preserve"> über Verletzungen informiert (Art. 28 Abs. 3 lit. f DSGVO).</w:t>
      </w:r>
    </w:p>
    <w:p>
      <w:pPr>
        <w:pStyle w:val="Heading1"/>
      </w:pPr>
      <w:r>
        <w:t>12. Dokumentation und Verzeichnis der Verarbeitungstätigkeiten</w:t>
      </w:r>
    </w:p>
    <w:p>
      <w:pPr>
        <w:spacing w:after="120"/>
      </w:pPr>
      <w:r>
        <w:t xml:space="preserve">Der </w:t>
      </w:r>
      <w:r>
        <w:rPr>
          <w:b/>
        </w:rPr>
        <w:t>Verantwortliche</w:t>
      </w:r>
      <w:r>
        <w:t xml:space="preserve"> ist verpflichtet, ein </w:t>
      </w:r>
      <w:r>
        <w:rPr>
          <w:b/>
        </w:rPr>
        <w:t>Verzeichnis der Verarbeitungstätigkeiten</w:t>
      </w:r>
      <w:r>
        <w:t xml:space="preserve"> (Art. 30 DSGVO) zu führen. Die in dieser Datenschutzerklärung beschriebenen Verarbeitungen (Zweck, Kategorien betroffener Personen und personenbezogener Daten, Empfänger, Speicherdauer, technische und organisatorische Maßnahmen, ggf. Drittländer) können als Grundlage für die Einträge zu CHAOS dienen. Die konkrete Ausgestaltung (Kontaktdaten des Verantwortlichen, Aufbewahrungsfristen, Rechtsgrundlagen je Verarbeitung) ist vom Betreiber zu ergänzen.</w:t>
      </w:r>
    </w:p>
    <w:p>
      <w:pPr>
        <w:spacing w:after="120"/>
      </w:pPr>
      <w:r>
        <w:t xml:space="preserve">Sofern eine </w:t>
      </w:r>
      <w:r>
        <w:rPr>
          <w:b/>
        </w:rPr>
        <w:t>Datenschutz-Folgenabschätzung</w:t>
      </w:r>
      <w:r>
        <w:t xml:space="preserve"> (Art. 35 DSGVO) erforderlich ist (z. B. bei hohem Risiko durch systematische Auswertung von Nutzungsdaten), obliegt diese dem Verantwortlichen.</w:t>
      </w:r>
    </w:p>
    <w:p>
      <w:pPr>
        <w:pStyle w:val="Heading1"/>
      </w:pPr>
      <w:r>
        <w:t>13. Änderungen dieser Datenschutzerklärung</w:t>
      </w:r>
    </w:p>
    <w:p>
      <w:pPr>
        <w:spacing w:after="120"/>
      </w:pPr>
      <w:r>
        <w:t xml:space="preserve">Diese Datenschutzerklärung kann bei Änderung der verarbeiteten Daten, der Berechtigungen, der Rechtsgrundlagen oder der Zwecke angepasst werden. Ein aktualisierter Stand sollte im Projekt (z. B. durch Aktualisierung des Dokuments im Hauptordner) abgelegt werden. Bei </w:t>
      </w:r>
      <w:r>
        <w:rPr>
          <w:b/>
        </w:rPr>
        <w:t>wesentlichen Änderungen</w:t>
      </w:r>
      <w:r>
        <w:t xml:space="preserve"> sollten die betroffenen Stellen (z. B. betroffene Beschäftigte, ggf. Betriebsrat) informiert werden; soweit erforderlich, ist eine erneute Information oder Einwilligung der Betroffenen einzuholen.</w:t>
      </w:r>
    </w:p>
    <w:p>
      <w:pPr>
        <w:spacing w:after="120"/>
      </w:pPr>
      <w:r>
        <w:t xml:space="preserve">Empfohlen wird, </w:t>
      </w:r>
      <w:r>
        <w:rPr>
          <w:b/>
        </w:rPr>
        <w:t>Änderungen</w:t>
      </w:r>
      <w:r>
        <w:t xml:space="preserve"> mit Datum und Kurzbeschreibung zu versehen (z. B. in einer Versionsübersicht am Anfang des Dokuments).</w:t>
      </w:r>
    </w:p>
    <w:p>
      <w:pPr>
        <w:pStyle w:val="Heading1"/>
      </w:pPr>
      <w:r>
        <w:t>14. Antworten auf aktuelle Datenschutzfragen (FAQ)</w:t>
      </w:r>
    </w:p>
    <w:p>
      <w:pPr>
        <w:pStyle w:val="Heading2"/>
      </w:pPr>
      <w:r>
        <w:t>14.1 Wer trifft die Entscheidung, wie die erhobenen Daten verwendet werden?</w:t>
      </w:r>
    </w:p>
    <w:p>
      <w:pPr>
        <w:spacing w:after="120"/>
      </w:pPr>
      <w:r>
        <w:t xml:space="preserve">Die Entscheidung trifft der </w:t>
      </w:r>
      <w:r>
        <w:rPr>
          <w:b/>
        </w:rPr>
        <w:t>Verantwortliche (Mandant / Betreiber der CHAOS-Instanz)</w:t>
      </w:r>
      <w:r>
        <w:t>. Die DRG verarbeitet Daten im Rahmen der beauftragten Leistung und ist dabei an die dokumentierten Zwecke und Weisungen des Verantwortlichen gebunden.</w:t>
      </w:r>
    </w:p>
    <w:p>
      <w:pPr>
        <w:pStyle w:val="Heading2"/>
      </w:pPr>
      <w:r>
        <w:t>14.2 Wer entscheidet, welche Mittel im Hinblick auf die festgestellten Daten verwendet werden?</w:t>
      </w:r>
    </w:p>
    <w:p>
      <w:pPr>
        <w:spacing w:after="120"/>
      </w:pPr>
      <w:r>
        <w:t xml:space="preserve">Die Mittel der Verarbeitung werden </w:t>
      </w:r>
      <w:r>
        <w:rPr>
          <w:b/>
        </w:rPr>
        <w:t>gemeinsam durch vertragliche und technische Festlegung</w:t>
      </w:r>
      <w:r>
        <w:t xml:space="preserve"> bestimmt:</w:t>
      </w:r>
    </w:p>
    <w:p>
      <w:pPr>
        <w:pStyle w:val="ListBullet"/>
        <w:spacing w:after="120"/>
      </w:pPr>
      <w:r>
        <w:t>Der Verantwortliche entscheidet, welche Verarbeitung für seine Zwecke erforderlich ist.</w:t>
      </w:r>
    </w:p>
    <w:p>
      <w:pPr>
        <w:pStyle w:val="ListBullet"/>
        <w:spacing w:after="120"/>
      </w:pPr>
      <w:r>
        <w:t>Die DRG legt im Rahmen des Auftrags die technische Umsetzung fest, jedoch nur innerhalb der vertraglich und datenschutzrechtlich zulässigen Grenzen.</w:t>
      </w:r>
    </w:p>
    <w:p>
      <w:pPr>
        <w:spacing w:after="120"/>
      </w:pPr>
      <w:r>
        <w:t>Bei typischer Auftragsverarbeitung gilt: Der Verantwortliche bestimmt Zweck und wesentliche Mittel; der Auftragsverarbeiter setzt technisch um.</w:t>
      </w:r>
    </w:p>
    <w:p>
      <w:pPr>
        <w:pStyle w:val="Heading2"/>
      </w:pPr>
      <w:r>
        <w:t>14.3 Ist beabsichtigt, dass mit dem Kunden vertraglich vereinbart wird, auf welche Datenkategorien zugegriffen wird und welche Verarbeitungsvorgänge die DRG vornehmen darf?</w:t>
      </w:r>
    </w:p>
    <w:p>
      <w:pPr>
        <w:spacing w:after="120"/>
      </w:pPr>
      <w:r/>
      <w:r>
        <w:rPr>
          <w:b/>
        </w:rPr>
        <w:t>Ja, das ist erforderlich und beabsichtigt.</w:t>
      </w:r>
      <w:r>
        <w:t xml:space="preserve"> Es sollte vertraglich klar festgelegt werden:</w:t>
      </w:r>
    </w:p>
    <w:p>
      <w:pPr>
        <w:pStyle w:val="ListBullet"/>
        <w:spacing w:after="120"/>
      </w:pPr>
      <w:r>
        <w:t>welche Datenkategorien verarbeitet werden duerfen (z. B. Benutzerstammdaten, Lizenzzuweisungen, Nutzungsmetadaten),</w:t>
      </w:r>
    </w:p>
    <w:p>
      <w:pPr>
        <w:pStyle w:val="ListBullet"/>
        <w:spacing w:after="120"/>
      </w:pPr>
      <w:r>
        <w:t>welche Verarbeitungsvorgaenge erlaubt sind (Abruf, Analyse, Empfehlung, Anzeige, Protokollierung, Loeschung),</w:t>
      </w:r>
    </w:p>
    <w:p>
      <w:pPr>
        <w:pStyle w:val="ListBullet"/>
        <w:spacing w:after="120"/>
      </w:pPr>
      <w:r>
        <w:t>welche Verarbeitung ausdruecklich ausgeschlossen ist.</w:t>
      </w:r>
    </w:p>
    <w:p>
      <w:pPr>
        <w:spacing w:after="120"/>
      </w:pPr>
      <w:r>
        <w:t>Dies sollte im Leistungsvertrag und in einer Vereinbarung zur Auftragsverarbeitung (Art. 28 DSGVO) dokumentiert werden.</w:t>
      </w:r>
    </w:p>
    <w:p>
      <w:pPr>
        <w:pStyle w:val="Heading2"/>
      </w:pPr>
      <w:r>
        <w:t>14.4 Kann der Zugriff der DRG (technisch) eingeschränkt werden?</w:t>
      </w:r>
    </w:p>
    <w:p>
      <w:pPr>
        <w:spacing w:after="120"/>
      </w:pPr>
      <w:r/>
      <w:r>
        <w:rPr>
          <w:b/>
        </w:rPr>
        <w:t>Ja.</w:t>
      </w:r>
      <w:r>
        <w:t xml:space="preserve"> Der Zugriff kann technisch begrenzt werden, insbesondere durch:</w:t>
      </w:r>
    </w:p>
    <w:p>
      <w:pPr>
        <w:pStyle w:val="ListBullet"/>
        <w:spacing w:after="120"/>
      </w:pPr>
      <w:r>
        <w:t>getrennte Service-Accounts und rollenbasierte Berechtigungen (Least Privilege),</w:t>
      </w:r>
    </w:p>
    <w:p>
      <w:pPr>
        <w:pStyle w:val="ListBullet"/>
        <w:spacing w:after="120"/>
      </w:pPr>
      <w:r>
        <w:t>Beschraenkung der Graph-App-Berechtigungen auf notwendige Scopes,</w:t>
      </w:r>
    </w:p>
    <w:p>
      <w:pPr>
        <w:pStyle w:val="ListBullet"/>
        <w:spacing w:after="120"/>
      </w:pPr>
      <w:r>
        <w:t>Tenant-/Mandanten-Trennung,</w:t>
      </w:r>
    </w:p>
    <w:p>
      <w:pPr>
        <w:pStyle w:val="ListBullet"/>
        <w:spacing w:after="120"/>
      </w:pPr>
      <w:r>
        <w:t>Zugriffsschutz auf Output-Verzeichnisse (Dateisystemrechte),</w:t>
      </w:r>
    </w:p>
    <w:p>
      <w:pPr>
        <w:pStyle w:val="ListBullet"/>
        <w:spacing w:after="120"/>
      </w:pPr>
      <w:r>
        <w:t>Netzwerk- und Admin-Zugriffsbegrenzung (z. B. Bastion, VPN, IP-Restriktion),</w:t>
      </w:r>
    </w:p>
    <w:p>
      <w:pPr>
        <w:pStyle w:val="ListBullet"/>
        <w:spacing w:after="120"/>
      </w:pPr>
      <w:r>
        <w:t>Protokollierung und regelmaessige Berechtigungsreviews.</w:t>
      </w:r>
    </w:p>
    <w:p>
      <w:pPr>
        <w:pStyle w:val="Heading2"/>
      </w:pPr>
      <w:r>
        <w:t>14.5 Ist sichergestellt, dass nur die unbedingt zur Leistungserbringung notwendigen Daten an die DRG offengelegt bzw. übermittelt werden?</w:t>
      </w:r>
    </w:p>
    <w:p>
      <w:pPr>
        <w:spacing w:after="120"/>
      </w:pPr>
      <w:r>
        <w:t xml:space="preserve">Dies muss organisatorisch und technisch nach dem Grundsatz der </w:t>
      </w:r>
      <w:r>
        <w:rPr>
          <w:b/>
        </w:rPr>
        <w:t>Datenminimierung</w:t>
      </w:r>
      <w:r>
        <w:t xml:space="preserve"> (Art. 5 Abs. 1 lit. c DSGVO) sichergestellt werden. Zielbild:</w:t>
      </w:r>
    </w:p>
    <w:p>
      <w:pPr>
        <w:pStyle w:val="ListBullet"/>
        <w:spacing w:after="120"/>
      </w:pPr>
      <w:r>
        <w:t>nur die fuer die Lizenzanalyse erforderlichen Felder und Zeitraeume abrufen,</w:t>
      </w:r>
    </w:p>
    <w:p>
      <w:pPr>
        <w:pStyle w:val="ListBullet"/>
        <w:spacing w:after="120"/>
      </w:pPr>
      <w:r>
        <w:t>keine Inhaltsdaten (z. B. Mail- oder Chatinhalte),</w:t>
      </w:r>
    </w:p>
    <w:p>
      <w:pPr>
        <w:pStyle w:val="ListBullet"/>
        <w:spacing w:after="120"/>
      </w:pPr>
      <w:r>
        <w:t>optionalen Datenzugriff (z. B. Hauptrechner-Check) nur bei aktivierter Fachanforderung,</w:t>
      </w:r>
    </w:p>
    <w:p>
      <w:pPr>
        <w:pStyle w:val="ListBullet"/>
        <w:spacing w:after="120"/>
      </w:pPr>
      <w:r>
        <w:t>regelmaessige Pruefung, ob Datenkategorien reduziert werden koennen.</w:t>
      </w:r>
    </w:p>
    <w:p>
      <w:pPr>
        <w:pStyle w:val="Heading2"/>
      </w:pPr>
      <w:r>
        <w:t>14.6 Ist der Leistungsinhalt ohne Zugriff auf personenbezogene Daten (wie Benutzer, Nutzungsbereich, registrierte Geräte) überhaupt möglich?</w:t>
      </w:r>
    </w:p>
    <w:p>
      <w:pPr>
        <w:spacing w:after="120"/>
      </w:pPr>
      <w:r/>
      <w:r>
        <w:rPr>
          <w:b/>
        </w:rPr>
        <w:t>Nur eingeschraenkt.</w:t>
      </w:r>
      <w:r>
        <w:t xml:space="preserve"> Eine individuelle Lizenzoptimierung pro Benutzer ist ohne personenbezogene bzw. personenbeziehbare Daten in der Regel nicht belastbar moeglich. Ohne diese Daten waere hoechstens eine aggregierte, stark vereinfachte Mandantenbetrachtung moeglich, aber keine praezise nutzerbezogene Empfehlung.</w:t>
      </w:r>
    </w:p>
    <w:p>
      <w:pPr>
        <w:spacing w:after="120"/>
      </w:pPr>
      <w:r>
        <w:t>*Dieses Dokument dient der Transparenz über die in CHAOS abgerufenen Daten, die genutzten Berechtigungen und die Verwendungszwecke. Es ersetzt nicht die Prüfung durch einen Datenschutzbeauftragten oder die Anpassung an konkrete Verträge (z. B. AV-Vertrag zwischen Auftragsverarbeiter und Verantwortlichem).*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